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BE4606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BE4606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C861BC" w:rsidRPr="00A27C20" w:rsidRDefault="00C861BC" w:rsidP="00203D49">
      <w:pPr>
        <w:widowControl w:val="0"/>
        <w:autoSpaceDE w:val="0"/>
        <w:autoSpaceDN w:val="0"/>
        <w:adjustRightInd w:val="0"/>
        <w:spacing w:after="0" w:line="228" w:lineRule="auto"/>
        <w:ind w:right="-3"/>
        <w:jc w:val="both"/>
        <w:rPr>
          <w:bCs/>
          <w:iCs/>
          <w:color w:val="000000" w:themeColor="text1"/>
          <w:szCs w:val="28"/>
        </w:rPr>
      </w:pPr>
      <w:r w:rsidRPr="00A27C20">
        <w:rPr>
          <w:bCs/>
          <w:iCs/>
          <w:color w:val="000000" w:themeColor="text1"/>
          <w:szCs w:val="28"/>
        </w:rPr>
        <w:t>О внесении</w:t>
      </w:r>
      <w:r w:rsidR="002F48C4" w:rsidRPr="00A27C20">
        <w:rPr>
          <w:bCs/>
          <w:iCs/>
          <w:color w:val="000000" w:themeColor="text1"/>
          <w:szCs w:val="28"/>
        </w:rPr>
        <w:t xml:space="preserve"> </w:t>
      </w:r>
      <w:r w:rsidRPr="00A27C20">
        <w:rPr>
          <w:bCs/>
          <w:iCs/>
          <w:color w:val="000000" w:themeColor="text1"/>
          <w:szCs w:val="28"/>
        </w:rPr>
        <w:t>изменени</w:t>
      </w:r>
      <w:r w:rsidR="00285C50" w:rsidRPr="00A27C20">
        <w:rPr>
          <w:bCs/>
          <w:iCs/>
          <w:color w:val="000000" w:themeColor="text1"/>
          <w:szCs w:val="28"/>
        </w:rPr>
        <w:t>й</w:t>
      </w:r>
      <w:r w:rsidR="00203D49">
        <w:rPr>
          <w:bCs/>
          <w:iCs/>
          <w:color w:val="000000" w:themeColor="text1"/>
          <w:szCs w:val="28"/>
        </w:rPr>
        <w:t xml:space="preserve"> и дополнений</w:t>
      </w:r>
      <w:r w:rsidR="00786430" w:rsidRPr="00A27C20">
        <w:rPr>
          <w:bCs/>
          <w:iCs/>
          <w:color w:val="000000" w:themeColor="text1"/>
          <w:szCs w:val="28"/>
        </w:rPr>
        <w:t xml:space="preserve"> </w:t>
      </w:r>
      <w:r w:rsidR="006F7B29" w:rsidRPr="00A27C20">
        <w:rPr>
          <w:bCs/>
          <w:iCs/>
          <w:color w:val="000000" w:themeColor="text1"/>
          <w:szCs w:val="28"/>
        </w:rPr>
        <w:t>в</w:t>
      </w:r>
      <w:r w:rsidR="00285C50" w:rsidRPr="00A27C20">
        <w:rPr>
          <w:bCs/>
          <w:iCs/>
          <w:color w:val="000000" w:themeColor="text1"/>
          <w:szCs w:val="28"/>
        </w:rPr>
        <w:t xml:space="preserve"> государственную программу Еврейской автономной области </w:t>
      </w:r>
      <w:r w:rsidR="00D94239">
        <w:rPr>
          <w:bCs/>
          <w:iCs/>
          <w:color w:val="000000" w:themeColor="text1"/>
          <w:szCs w:val="28"/>
        </w:rPr>
        <w:t>«</w:t>
      </w:r>
      <w:r w:rsidR="00285C50" w:rsidRPr="00A27C20">
        <w:rPr>
          <w:bCs/>
          <w:iCs/>
          <w:color w:val="000000" w:themeColor="text1"/>
          <w:szCs w:val="28"/>
        </w:rPr>
        <w:t>Жилище</w:t>
      </w:r>
      <w:r w:rsidR="00D94239">
        <w:rPr>
          <w:bCs/>
          <w:iCs/>
          <w:color w:val="000000" w:themeColor="text1"/>
          <w:szCs w:val="28"/>
        </w:rPr>
        <w:t>»</w:t>
      </w:r>
      <w:r w:rsidR="00285C50" w:rsidRPr="00A27C20">
        <w:rPr>
          <w:bCs/>
          <w:iCs/>
          <w:color w:val="000000" w:themeColor="text1"/>
          <w:szCs w:val="28"/>
        </w:rPr>
        <w:t xml:space="preserve"> на 2021</w:t>
      </w:r>
      <w:r w:rsidR="00D207C1" w:rsidRPr="00A27C20">
        <w:rPr>
          <w:bCs/>
          <w:iCs/>
          <w:color w:val="000000" w:themeColor="text1"/>
          <w:szCs w:val="28"/>
        </w:rPr>
        <w:t xml:space="preserve"> </w:t>
      </w:r>
      <w:r w:rsidR="005131D7" w:rsidRPr="00A27C20">
        <w:rPr>
          <w:bCs/>
          <w:iCs/>
          <w:color w:val="000000" w:themeColor="text1"/>
          <w:szCs w:val="28"/>
        </w:rPr>
        <w:t>–</w:t>
      </w:r>
      <w:r w:rsidR="00D207C1" w:rsidRPr="00A27C20">
        <w:rPr>
          <w:bCs/>
          <w:iCs/>
          <w:color w:val="000000" w:themeColor="text1"/>
          <w:szCs w:val="28"/>
        </w:rPr>
        <w:t xml:space="preserve"> </w:t>
      </w:r>
      <w:r w:rsidR="00285C50" w:rsidRPr="00A27C20">
        <w:rPr>
          <w:bCs/>
          <w:iCs/>
          <w:color w:val="000000" w:themeColor="text1"/>
          <w:szCs w:val="28"/>
        </w:rPr>
        <w:t>2024 годы</w:t>
      </w:r>
      <w:r w:rsidR="00D94239">
        <w:rPr>
          <w:bCs/>
          <w:iCs/>
          <w:color w:val="000000" w:themeColor="text1"/>
          <w:szCs w:val="28"/>
        </w:rPr>
        <w:t>»</w:t>
      </w:r>
      <w:r w:rsidR="00285C50" w:rsidRPr="00A27C20">
        <w:rPr>
          <w:bCs/>
          <w:iCs/>
          <w:color w:val="000000" w:themeColor="text1"/>
          <w:szCs w:val="28"/>
        </w:rPr>
        <w:t>, утвержденную</w:t>
      </w:r>
      <w:r w:rsidR="006F7B29" w:rsidRPr="00A27C20">
        <w:rPr>
          <w:bCs/>
          <w:iCs/>
          <w:color w:val="000000" w:themeColor="text1"/>
          <w:szCs w:val="28"/>
        </w:rPr>
        <w:t xml:space="preserve"> постановление</w:t>
      </w:r>
      <w:r w:rsidR="00285C50" w:rsidRPr="00A27C20">
        <w:rPr>
          <w:bCs/>
          <w:iCs/>
          <w:color w:val="000000" w:themeColor="text1"/>
          <w:szCs w:val="28"/>
        </w:rPr>
        <w:t>м</w:t>
      </w:r>
      <w:r w:rsidR="006F7B29" w:rsidRPr="00A27C20">
        <w:rPr>
          <w:bCs/>
          <w:iCs/>
          <w:color w:val="000000" w:themeColor="text1"/>
          <w:szCs w:val="28"/>
        </w:rPr>
        <w:t xml:space="preserve"> правительства Еврейской автономной области от 02.12.2020 № 463</w:t>
      </w:r>
      <w:r w:rsidR="00267923" w:rsidRPr="00A27C20">
        <w:rPr>
          <w:bCs/>
          <w:iCs/>
          <w:color w:val="000000" w:themeColor="text1"/>
          <w:szCs w:val="28"/>
        </w:rPr>
        <w:t>-</w:t>
      </w:r>
      <w:r w:rsidR="000B1B51" w:rsidRPr="00A27C20">
        <w:rPr>
          <w:bCs/>
          <w:iCs/>
          <w:color w:val="000000" w:themeColor="text1"/>
          <w:szCs w:val="28"/>
        </w:rPr>
        <w:t>пп</w:t>
      </w:r>
    </w:p>
    <w:p w:rsidR="00285C50" w:rsidRDefault="00285C50" w:rsidP="00203D4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52184C" w:rsidRPr="00A27C20" w:rsidRDefault="0052184C" w:rsidP="00203D4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285C50" w:rsidRPr="00A27C20" w:rsidRDefault="00285C50" w:rsidP="00203D49">
      <w:pPr>
        <w:spacing w:after="0" w:line="228" w:lineRule="auto"/>
        <w:ind w:firstLine="708"/>
        <w:jc w:val="both"/>
        <w:rPr>
          <w:bCs/>
          <w:iCs/>
          <w:color w:val="000000" w:themeColor="text1"/>
          <w:szCs w:val="28"/>
        </w:rPr>
      </w:pPr>
      <w:r w:rsidRPr="00A27C20">
        <w:rPr>
          <w:bCs/>
          <w:iCs/>
          <w:color w:val="000000" w:themeColor="text1"/>
          <w:szCs w:val="28"/>
        </w:rPr>
        <w:t>Правительство Еврейской автономной области</w:t>
      </w:r>
    </w:p>
    <w:p w:rsidR="00285C50" w:rsidRPr="00A27C20" w:rsidRDefault="00285C50" w:rsidP="00203D4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>ПОСТАНОВЛЯЕТ:</w:t>
      </w:r>
    </w:p>
    <w:p w:rsidR="009A025A" w:rsidRDefault="00285C50" w:rsidP="00203D49">
      <w:pPr>
        <w:tabs>
          <w:tab w:val="left" w:pos="1276"/>
        </w:tabs>
        <w:spacing w:after="0" w:line="228" w:lineRule="auto"/>
        <w:ind w:firstLine="709"/>
        <w:jc w:val="both"/>
        <w:rPr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 xml:space="preserve">1. Внести в государственную программу Еврейской автономной области </w:t>
      </w:r>
      <w:r w:rsidR="00D94239">
        <w:rPr>
          <w:color w:val="000000" w:themeColor="text1"/>
          <w:szCs w:val="28"/>
        </w:rPr>
        <w:t>«</w:t>
      </w:r>
      <w:r w:rsidRPr="00A27C20">
        <w:rPr>
          <w:color w:val="000000" w:themeColor="text1"/>
          <w:szCs w:val="28"/>
        </w:rPr>
        <w:t>Жилище</w:t>
      </w:r>
      <w:r w:rsidR="00D94239">
        <w:rPr>
          <w:color w:val="000000" w:themeColor="text1"/>
          <w:szCs w:val="28"/>
        </w:rPr>
        <w:t>»</w:t>
      </w:r>
      <w:r w:rsidRPr="00A27C20">
        <w:rPr>
          <w:color w:val="000000" w:themeColor="text1"/>
          <w:szCs w:val="28"/>
        </w:rPr>
        <w:t xml:space="preserve"> на 2021</w:t>
      </w:r>
      <w:r w:rsidR="00786430" w:rsidRPr="00A27C20">
        <w:rPr>
          <w:color w:val="000000" w:themeColor="text1"/>
          <w:szCs w:val="28"/>
        </w:rPr>
        <w:t xml:space="preserve"> </w:t>
      </w:r>
      <w:r w:rsidR="005131D7" w:rsidRPr="00A27C20">
        <w:rPr>
          <w:bCs/>
          <w:iCs/>
          <w:color w:val="000000" w:themeColor="text1"/>
          <w:szCs w:val="28"/>
        </w:rPr>
        <w:t>–</w:t>
      </w:r>
      <w:r w:rsidR="00486FBF" w:rsidRPr="00A27C20">
        <w:rPr>
          <w:bCs/>
          <w:iCs/>
          <w:color w:val="000000" w:themeColor="text1"/>
          <w:szCs w:val="28"/>
        </w:rPr>
        <w:t xml:space="preserve"> </w:t>
      </w:r>
      <w:r w:rsidRPr="00A27C20">
        <w:rPr>
          <w:color w:val="000000" w:themeColor="text1"/>
          <w:szCs w:val="28"/>
        </w:rPr>
        <w:t>2024 годы</w:t>
      </w:r>
      <w:r w:rsidR="00D94239">
        <w:rPr>
          <w:color w:val="000000" w:themeColor="text1"/>
          <w:szCs w:val="28"/>
        </w:rPr>
        <w:t>»</w:t>
      </w:r>
      <w:r w:rsidRPr="00A27C20">
        <w:rPr>
          <w:color w:val="000000" w:themeColor="text1"/>
          <w:szCs w:val="28"/>
        </w:rPr>
        <w:t>, утвержденную постановлением правительства Еврейской автономной области от 02.12.2020 № 463</w:t>
      </w:r>
      <w:r w:rsidR="00221CE8" w:rsidRPr="00A27C20">
        <w:rPr>
          <w:bCs/>
          <w:iCs/>
          <w:color w:val="000000" w:themeColor="text1"/>
          <w:szCs w:val="28"/>
        </w:rPr>
        <w:t>-</w:t>
      </w:r>
      <w:r w:rsidRPr="00A27C20">
        <w:rPr>
          <w:color w:val="000000" w:themeColor="text1"/>
          <w:szCs w:val="28"/>
        </w:rPr>
        <w:t xml:space="preserve">пп </w:t>
      </w:r>
      <w:r w:rsidRPr="00A27C20">
        <w:rPr>
          <w:color w:val="000000" w:themeColor="text1"/>
          <w:szCs w:val="28"/>
        </w:rPr>
        <w:br/>
      </w:r>
      <w:r w:rsidR="00D94239">
        <w:rPr>
          <w:color w:val="000000" w:themeColor="text1"/>
          <w:szCs w:val="28"/>
        </w:rPr>
        <w:t>«</w:t>
      </w:r>
      <w:r w:rsidRPr="00A27C20">
        <w:rPr>
          <w:color w:val="000000" w:themeColor="text1"/>
          <w:szCs w:val="28"/>
        </w:rPr>
        <w:t xml:space="preserve">Об </w:t>
      </w:r>
      <w:r w:rsidRPr="000C5AC6">
        <w:rPr>
          <w:color w:val="000000" w:themeColor="text1"/>
          <w:szCs w:val="28"/>
        </w:rPr>
        <w:t xml:space="preserve">утверждении государственной программы Еврейской автономной области </w:t>
      </w:r>
      <w:r w:rsidR="00D94239">
        <w:rPr>
          <w:color w:val="000000" w:themeColor="text1"/>
          <w:szCs w:val="28"/>
        </w:rPr>
        <w:t>«</w:t>
      </w:r>
      <w:r w:rsidRPr="000C5AC6">
        <w:rPr>
          <w:color w:val="000000" w:themeColor="text1"/>
          <w:szCs w:val="28"/>
        </w:rPr>
        <w:t>Жилище</w:t>
      </w:r>
      <w:r w:rsidR="00D94239">
        <w:rPr>
          <w:color w:val="000000" w:themeColor="text1"/>
          <w:szCs w:val="28"/>
        </w:rPr>
        <w:t>»</w:t>
      </w:r>
      <w:r w:rsidRPr="000C5AC6">
        <w:rPr>
          <w:color w:val="000000" w:themeColor="text1"/>
          <w:szCs w:val="28"/>
        </w:rPr>
        <w:t xml:space="preserve"> на 2021</w:t>
      </w:r>
      <w:r w:rsidR="00E719FD" w:rsidRPr="000C5AC6">
        <w:rPr>
          <w:color w:val="000000" w:themeColor="text1"/>
          <w:szCs w:val="28"/>
        </w:rPr>
        <w:t xml:space="preserve"> </w:t>
      </w:r>
      <w:r w:rsidR="005131D7" w:rsidRPr="000C5AC6">
        <w:rPr>
          <w:bCs/>
          <w:iCs/>
          <w:color w:val="000000" w:themeColor="text1"/>
          <w:szCs w:val="28"/>
        </w:rPr>
        <w:t>–</w:t>
      </w:r>
      <w:r w:rsidR="00486FBF" w:rsidRPr="000C5AC6">
        <w:rPr>
          <w:bCs/>
          <w:iCs/>
          <w:color w:val="000000" w:themeColor="text1"/>
          <w:szCs w:val="28"/>
        </w:rPr>
        <w:t xml:space="preserve"> </w:t>
      </w:r>
      <w:r w:rsidRPr="000C5AC6">
        <w:rPr>
          <w:color w:val="000000" w:themeColor="text1"/>
          <w:szCs w:val="28"/>
        </w:rPr>
        <w:t>2024 годы</w:t>
      </w:r>
      <w:r w:rsidR="00D94239">
        <w:rPr>
          <w:color w:val="000000" w:themeColor="text1"/>
          <w:szCs w:val="28"/>
        </w:rPr>
        <w:t>»</w:t>
      </w:r>
      <w:r w:rsidRPr="000C5AC6">
        <w:rPr>
          <w:color w:val="000000" w:themeColor="text1"/>
          <w:szCs w:val="28"/>
        </w:rPr>
        <w:t>, следующие изменения</w:t>
      </w:r>
      <w:r w:rsidR="00203D49">
        <w:rPr>
          <w:color w:val="000000" w:themeColor="text1"/>
          <w:szCs w:val="28"/>
        </w:rPr>
        <w:t xml:space="preserve"> и дополнения</w:t>
      </w:r>
      <w:r w:rsidRPr="000C5AC6">
        <w:rPr>
          <w:color w:val="000000" w:themeColor="text1"/>
          <w:szCs w:val="28"/>
        </w:rPr>
        <w:t>:</w:t>
      </w:r>
    </w:p>
    <w:p w:rsidR="00EC35C5" w:rsidRDefault="00EC35C5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742FFF">
        <w:t>1.</w:t>
      </w:r>
      <w:r>
        <w:t>1.</w:t>
      </w:r>
      <w:r w:rsidRPr="00742FFF">
        <w:t xml:space="preserve"> </w:t>
      </w:r>
      <w:r w:rsidRPr="00742FFF">
        <w:rPr>
          <w:iCs/>
          <w:szCs w:val="28"/>
        </w:rPr>
        <w:t xml:space="preserve">В разделе 1 </w:t>
      </w:r>
      <w:r w:rsidR="00D94239">
        <w:rPr>
          <w:iCs/>
          <w:szCs w:val="28"/>
        </w:rPr>
        <w:t>«</w:t>
      </w:r>
      <w:r w:rsidRPr="00742FFF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D94239">
        <w:rPr>
          <w:iCs/>
          <w:szCs w:val="28"/>
        </w:rPr>
        <w:t>«</w:t>
      </w:r>
      <w:r w:rsidRPr="00742FFF">
        <w:rPr>
          <w:iCs/>
          <w:szCs w:val="28"/>
        </w:rPr>
        <w:t>Жилище</w:t>
      </w:r>
      <w:r w:rsidR="00D94239">
        <w:rPr>
          <w:iCs/>
          <w:szCs w:val="28"/>
        </w:rPr>
        <w:t>»</w:t>
      </w:r>
      <w:r w:rsidRPr="00742FFF">
        <w:rPr>
          <w:iCs/>
          <w:szCs w:val="28"/>
        </w:rPr>
        <w:t xml:space="preserve"> на 2021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 xml:space="preserve">– </w:t>
      </w:r>
      <w:r w:rsidRPr="00742FFF">
        <w:rPr>
          <w:iCs/>
          <w:szCs w:val="28"/>
        </w:rPr>
        <w:t>2024 годы</w:t>
      </w:r>
      <w:r w:rsidR="00D94239">
        <w:rPr>
          <w:iCs/>
          <w:szCs w:val="28"/>
        </w:rPr>
        <w:t>»</w:t>
      </w:r>
      <w:r w:rsidRPr="00742FFF">
        <w:rPr>
          <w:iCs/>
          <w:szCs w:val="28"/>
        </w:rPr>
        <w:t>:</w:t>
      </w:r>
    </w:p>
    <w:p w:rsidR="00D94239" w:rsidRDefault="00D94239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1.1.1. Строку «Участники государственной программы» изложить в следующей редакции:</w:t>
      </w:r>
    </w:p>
    <w:p w:rsidR="00D94239" w:rsidRPr="00D94239" w:rsidRDefault="00D94239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48"/>
          <w:szCs w:val="28"/>
        </w:rPr>
      </w:pPr>
      <w:r>
        <w:rPr>
          <w:iCs/>
          <w:szCs w:val="28"/>
        </w:rPr>
        <w:t>«</w:t>
      </w:r>
      <w:r w:rsidRPr="00D94239">
        <w:rPr>
          <w:szCs w:val="16"/>
        </w:rPr>
        <w:t xml:space="preserve">Департамент образования Еврейской автономной области, департамент по управлению государственным имуществом Еврейской автономной области, департамент здравоохранения правительства Еврейской автономной области, департамент социальной защиты населения правительства Еврейской автономной области, ОГБУ </w:t>
      </w:r>
      <w:r>
        <w:rPr>
          <w:szCs w:val="16"/>
        </w:rPr>
        <w:t>«</w:t>
      </w:r>
      <w:r w:rsidRPr="00D94239">
        <w:rPr>
          <w:szCs w:val="16"/>
        </w:rPr>
        <w:t>Служба заказчика (застройщика) в Еврейской автономной области</w:t>
      </w:r>
      <w:r>
        <w:rPr>
          <w:szCs w:val="16"/>
        </w:rPr>
        <w:t xml:space="preserve">, </w:t>
      </w:r>
      <w:r>
        <w:rPr>
          <w:szCs w:val="28"/>
        </w:rPr>
        <w:t>Государственная экспертиза проектной документации Еврейской автономной области</w:t>
      </w:r>
      <w:r>
        <w:rPr>
          <w:szCs w:val="16"/>
        </w:rPr>
        <w:t>»</w:t>
      </w:r>
    </w:p>
    <w:p w:rsidR="00EE324C" w:rsidRDefault="00EE324C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</w:rPr>
      </w:pPr>
      <w:r w:rsidRPr="00B53040">
        <w:t>1.1.</w:t>
      </w:r>
      <w:r w:rsidR="00D94239">
        <w:t>2</w:t>
      </w:r>
      <w:r w:rsidR="00EC35C5">
        <w:t>.</w:t>
      </w:r>
      <w:r w:rsidRPr="00B53040">
        <w:t xml:space="preserve"> </w:t>
      </w:r>
      <w:r w:rsidRPr="00A27C20">
        <w:rPr>
          <w:iCs/>
          <w:color w:val="000000" w:themeColor="text1"/>
          <w:szCs w:val="28"/>
        </w:rPr>
        <w:t xml:space="preserve">Строку </w:t>
      </w:r>
      <w:r w:rsidR="00D94239">
        <w:rPr>
          <w:iCs/>
          <w:color w:val="000000" w:themeColor="text1"/>
          <w:szCs w:val="28"/>
        </w:rPr>
        <w:t>«</w:t>
      </w:r>
      <w:r w:rsidRPr="00A27C20">
        <w:rPr>
          <w:iCs/>
          <w:color w:val="000000" w:themeColor="text1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A27C20">
        <w:rPr>
          <w:iCs/>
          <w:color w:val="000000" w:themeColor="text1"/>
          <w:szCs w:val="28"/>
        </w:rPr>
        <w:br/>
        <w:t>в том числе по годам</w:t>
      </w:r>
      <w:r w:rsidR="00D94239">
        <w:rPr>
          <w:iCs/>
          <w:color w:val="000000" w:themeColor="text1"/>
          <w:szCs w:val="28"/>
        </w:rPr>
        <w:t>»</w:t>
      </w:r>
      <w:r w:rsidRPr="00A27C20">
        <w:rPr>
          <w:iCs/>
          <w:color w:val="000000" w:themeColor="text1"/>
          <w:szCs w:val="28"/>
        </w:rPr>
        <w:t xml:space="preserve"> </w:t>
      </w:r>
      <w:r w:rsidRPr="00A27C20">
        <w:rPr>
          <w:color w:val="000000" w:themeColor="text1"/>
          <w:szCs w:val="28"/>
        </w:rPr>
        <w:t>изложить в следующей редакции:</w:t>
      </w:r>
    </w:p>
    <w:p w:rsidR="00D94239" w:rsidRDefault="00D94239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</w:rPr>
      </w:pPr>
    </w:p>
    <w:p w:rsidR="00D94239" w:rsidRDefault="00D94239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</w:rPr>
      </w:pPr>
    </w:p>
    <w:p w:rsidR="00D94239" w:rsidRDefault="00D94239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89"/>
        <w:gridCol w:w="1144"/>
        <w:gridCol w:w="1024"/>
        <w:gridCol w:w="1024"/>
        <w:gridCol w:w="1024"/>
        <w:gridCol w:w="1083"/>
      </w:tblGrid>
      <w:tr w:rsidR="002741E6" w:rsidRPr="00E9741A" w:rsidTr="00F96B41">
        <w:trPr>
          <w:trHeight w:val="355"/>
        </w:trPr>
        <w:tc>
          <w:tcPr>
            <w:tcW w:w="2330" w:type="dxa"/>
            <w:vMerge w:val="restart"/>
          </w:tcPr>
          <w:p w:rsidR="002741E6" w:rsidRPr="00E9741A" w:rsidRDefault="007E562B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D94239">
              <w:rPr>
                <w:color w:val="000000" w:themeColor="text1"/>
                <w:sz w:val="20"/>
                <w:szCs w:val="20"/>
              </w:rPr>
              <w:t>«</w:t>
            </w:r>
            <w:r w:rsidR="002741E6" w:rsidRPr="00E9741A">
              <w:rPr>
                <w:color w:val="000000" w:themeColor="text1"/>
                <w:sz w:val="20"/>
                <w:szCs w:val="20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6"/>
          </w:tcPr>
          <w:p w:rsidR="002741E6" w:rsidRPr="00E9741A" w:rsidRDefault="002741E6" w:rsidP="00D63BBE">
            <w:pPr>
              <w:pStyle w:val="ConsPlusNormal"/>
              <w:spacing w:line="228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Общий объем средств, привлекаемых для реализации программы </w:t>
            </w:r>
            <w:r w:rsidR="00097271" w:rsidRPr="00E9741A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в 2021 </w:t>
            </w:r>
            <w:r w:rsidR="00582980" w:rsidRPr="00E9741A">
              <w:rPr>
                <w:color w:val="000000" w:themeColor="text1"/>
                <w:sz w:val="20"/>
                <w:szCs w:val="20"/>
              </w:rPr>
              <w:t>–</w:t>
            </w:r>
            <w:r w:rsidR="000A25C5" w:rsidRPr="00E97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2024 годах, составит </w:t>
            </w:r>
            <w:r w:rsidR="00D63BBE">
              <w:rPr>
                <w:color w:val="000000" w:themeColor="text1"/>
                <w:sz w:val="20"/>
                <w:szCs w:val="20"/>
              </w:rPr>
              <w:t>5013951,6</w:t>
            </w:r>
            <w:r w:rsidR="009676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тыс. рублей </w:t>
            </w:r>
            <w:hyperlink w:anchor="P160" w:history="1">
              <w:r w:rsidRPr="00E9741A">
                <w:rPr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E9741A">
              <w:rPr>
                <w:color w:val="000000" w:themeColor="text1"/>
                <w:sz w:val="20"/>
                <w:szCs w:val="20"/>
              </w:rPr>
              <w:t>, в том числе:</w:t>
            </w:r>
          </w:p>
        </w:tc>
        <w:bookmarkStart w:id="0" w:name="_GoBack"/>
        <w:bookmarkEnd w:id="0"/>
      </w:tr>
      <w:tr w:rsidR="002741E6" w:rsidRPr="00E9741A" w:rsidTr="00F96B41">
        <w:trPr>
          <w:trHeight w:val="251"/>
        </w:trPr>
        <w:tc>
          <w:tcPr>
            <w:tcW w:w="2330" w:type="dxa"/>
            <w:vMerge/>
          </w:tcPr>
          <w:p w:rsidR="002741E6" w:rsidRPr="00E9741A" w:rsidRDefault="002741E6" w:rsidP="00203D49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83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2741E6" w:rsidRPr="00E9741A" w:rsidTr="00221CE8">
        <w:tc>
          <w:tcPr>
            <w:tcW w:w="2330" w:type="dxa"/>
            <w:vMerge/>
          </w:tcPr>
          <w:p w:rsidR="002741E6" w:rsidRPr="00E9741A" w:rsidRDefault="002741E6" w:rsidP="00203D49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4" w:type="dxa"/>
          </w:tcPr>
          <w:p w:rsidR="002741E6" w:rsidRPr="00E9741A" w:rsidRDefault="00D63BBE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5013951,6</w:t>
            </w:r>
          </w:p>
        </w:tc>
        <w:tc>
          <w:tcPr>
            <w:tcW w:w="1024" w:type="dxa"/>
          </w:tcPr>
          <w:p w:rsidR="002741E6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2445713,2</w:t>
            </w:r>
          </w:p>
        </w:tc>
        <w:tc>
          <w:tcPr>
            <w:tcW w:w="1024" w:type="dxa"/>
          </w:tcPr>
          <w:p w:rsidR="002741E6" w:rsidRPr="00E9741A" w:rsidRDefault="00D63BBE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1038915,5</w:t>
            </w:r>
          </w:p>
        </w:tc>
        <w:tc>
          <w:tcPr>
            <w:tcW w:w="1024" w:type="dxa"/>
          </w:tcPr>
          <w:p w:rsidR="002741E6" w:rsidRPr="00E9741A" w:rsidRDefault="00D90909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766413,3</w:t>
            </w:r>
          </w:p>
        </w:tc>
        <w:tc>
          <w:tcPr>
            <w:tcW w:w="1083" w:type="dxa"/>
          </w:tcPr>
          <w:p w:rsidR="002741E6" w:rsidRPr="00E9741A" w:rsidRDefault="00D90909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762909,6</w:t>
            </w:r>
          </w:p>
        </w:tc>
      </w:tr>
      <w:tr w:rsidR="002741E6" w:rsidRPr="00E9741A" w:rsidTr="00F96B41">
        <w:trPr>
          <w:trHeight w:val="66"/>
        </w:trPr>
        <w:tc>
          <w:tcPr>
            <w:tcW w:w="2330" w:type="dxa"/>
            <w:vMerge/>
          </w:tcPr>
          <w:p w:rsidR="002741E6" w:rsidRPr="00E9741A" w:rsidRDefault="002741E6" w:rsidP="00203D49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4" w:type="dxa"/>
          </w:tcPr>
          <w:p w:rsidR="002741E6" w:rsidRPr="00E9741A" w:rsidRDefault="00D63BBE" w:rsidP="00D63BBE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115300,7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32113,2</w:t>
            </w:r>
          </w:p>
        </w:tc>
        <w:tc>
          <w:tcPr>
            <w:tcW w:w="1024" w:type="dxa"/>
          </w:tcPr>
          <w:p w:rsidR="002741E6" w:rsidRPr="00E9741A" w:rsidRDefault="00556231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35669,3</w:t>
            </w:r>
          </w:p>
        </w:tc>
        <w:tc>
          <w:tcPr>
            <w:tcW w:w="1024" w:type="dxa"/>
          </w:tcPr>
          <w:p w:rsidR="002741E6" w:rsidRPr="00E9741A" w:rsidRDefault="00D90909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23934,3</w:t>
            </w:r>
          </w:p>
        </w:tc>
        <w:tc>
          <w:tcPr>
            <w:tcW w:w="1083" w:type="dxa"/>
          </w:tcPr>
          <w:p w:rsidR="002741E6" w:rsidRPr="00E9741A" w:rsidRDefault="00D90909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23583,9</w:t>
            </w:r>
          </w:p>
        </w:tc>
      </w:tr>
      <w:tr w:rsidR="002741E6" w:rsidRPr="00E9741A" w:rsidTr="00F96B41">
        <w:trPr>
          <w:trHeight w:val="327"/>
        </w:trPr>
        <w:tc>
          <w:tcPr>
            <w:tcW w:w="2330" w:type="dxa"/>
            <w:vMerge/>
          </w:tcPr>
          <w:p w:rsidR="002741E6" w:rsidRPr="00E9741A" w:rsidRDefault="002741E6" w:rsidP="00203D49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4" w:type="dxa"/>
          </w:tcPr>
          <w:p w:rsidR="002741E6" w:rsidRPr="00E9741A" w:rsidRDefault="00D05AFA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2360650,9</w:t>
            </w:r>
          </w:p>
        </w:tc>
        <w:tc>
          <w:tcPr>
            <w:tcW w:w="1024" w:type="dxa"/>
          </w:tcPr>
          <w:p w:rsidR="00D90909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1795600,0</w:t>
            </w:r>
          </w:p>
        </w:tc>
        <w:tc>
          <w:tcPr>
            <w:tcW w:w="1024" w:type="dxa"/>
          </w:tcPr>
          <w:p w:rsidR="002741E6" w:rsidRPr="00E9741A" w:rsidRDefault="00D05AFA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383246,2</w:t>
            </w:r>
          </w:p>
        </w:tc>
        <w:tc>
          <w:tcPr>
            <w:tcW w:w="1024" w:type="dxa"/>
          </w:tcPr>
          <w:p w:rsidR="002741E6" w:rsidRPr="00E9741A" w:rsidRDefault="00D90909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92479,0</w:t>
            </w:r>
          </w:p>
        </w:tc>
        <w:tc>
          <w:tcPr>
            <w:tcW w:w="1083" w:type="dxa"/>
          </w:tcPr>
          <w:p w:rsidR="002741E6" w:rsidRPr="00E9741A" w:rsidRDefault="00D90909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</w:tr>
      <w:tr w:rsidR="002741E6" w:rsidRPr="00E9741A" w:rsidTr="00F96B41">
        <w:trPr>
          <w:trHeight w:val="649"/>
        </w:trPr>
        <w:tc>
          <w:tcPr>
            <w:tcW w:w="2330" w:type="dxa"/>
            <w:vMerge/>
          </w:tcPr>
          <w:p w:rsidR="002741E6" w:rsidRPr="00E9741A" w:rsidRDefault="002741E6" w:rsidP="00203D49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44" w:type="dxa"/>
          </w:tcPr>
          <w:p w:rsidR="002741E6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741E6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741E6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741E6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2741E6" w:rsidRPr="00E9741A" w:rsidRDefault="00185A1D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741E6" w:rsidRPr="00E9741A" w:rsidTr="00F96B41">
        <w:trPr>
          <w:trHeight w:val="308"/>
        </w:trPr>
        <w:tc>
          <w:tcPr>
            <w:tcW w:w="2330" w:type="dxa"/>
            <w:vMerge/>
          </w:tcPr>
          <w:p w:rsidR="002741E6" w:rsidRPr="00E9741A" w:rsidRDefault="002741E6" w:rsidP="00203D49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1024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1083" w:type="dxa"/>
          </w:tcPr>
          <w:p w:rsidR="002741E6" w:rsidRPr="00E9741A" w:rsidRDefault="002741E6" w:rsidP="00203D49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  <w:r w:rsidR="00D94239">
              <w:rPr>
                <w:color w:val="000000" w:themeColor="text1"/>
                <w:sz w:val="20"/>
                <w:szCs w:val="20"/>
              </w:rPr>
              <w:t>»</w:t>
            </w:r>
            <w:r w:rsidR="00F6352A" w:rsidRPr="00E9741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9957EF" w:rsidRDefault="0009242A" w:rsidP="00437822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  <w:r w:rsidRPr="009F501E">
        <w:rPr>
          <w:szCs w:val="28"/>
        </w:rPr>
        <w:t>1.</w:t>
      </w:r>
      <w:r w:rsidR="00870F1E">
        <w:rPr>
          <w:szCs w:val="28"/>
        </w:rPr>
        <w:t>2</w:t>
      </w:r>
      <w:r w:rsidRPr="009F501E">
        <w:rPr>
          <w:szCs w:val="28"/>
        </w:rPr>
        <w:t xml:space="preserve">. В </w:t>
      </w:r>
      <w:hyperlink r:id="rId8" w:history="1">
        <w:r w:rsidRPr="009F501E">
          <w:rPr>
            <w:szCs w:val="28"/>
          </w:rPr>
          <w:t>таблице 2</w:t>
        </w:r>
      </w:hyperlink>
      <w:r w:rsidRPr="009F501E">
        <w:rPr>
          <w:szCs w:val="28"/>
        </w:rPr>
        <w:t xml:space="preserve"> </w:t>
      </w:r>
      <w:r w:rsidR="00D94239">
        <w:rPr>
          <w:szCs w:val="28"/>
        </w:rPr>
        <w:t>«</w:t>
      </w:r>
      <w:r w:rsidRPr="009F501E">
        <w:rPr>
          <w:szCs w:val="28"/>
        </w:rPr>
        <w:t>Мероприятия государственной программы</w:t>
      </w:r>
      <w:r w:rsidR="00D94239">
        <w:rPr>
          <w:szCs w:val="28"/>
        </w:rPr>
        <w:t>»</w:t>
      </w:r>
      <w:r w:rsidRPr="009F501E">
        <w:rPr>
          <w:szCs w:val="28"/>
        </w:rPr>
        <w:t xml:space="preserve"> раздела 7 </w:t>
      </w:r>
      <w:r w:rsidR="00D94239">
        <w:rPr>
          <w:szCs w:val="28"/>
        </w:rPr>
        <w:t>«</w:t>
      </w:r>
      <w:r w:rsidRPr="009F501E">
        <w:rPr>
          <w:szCs w:val="28"/>
        </w:rPr>
        <w:t>Система программных мероприятий</w:t>
      </w:r>
      <w:r w:rsidR="00D94239">
        <w:rPr>
          <w:szCs w:val="28"/>
        </w:rPr>
        <w:t>»</w:t>
      </w:r>
      <w:r w:rsidR="00437822">
        <w:rPr>
          <w:szCs w:val="28"/>
        </w:rPr>
        <w:t xml:space="preserve"> дополнить разделом </w:t>
      </w:r>
      <w:r w:rsidR="009957EF">
        <w:rPr>
          <w:szCs w:val="28"/>
        </w:rPr>
        <w:t>5</w:t>
      </w:r>
      <w:r w:rsidR="00993ECA">
        <w:rPr>
          <w:szCs w:val="28"/>
        </w:rPr>
        <w:t xml:space="preserve"> следующего содержания</w:t>
      </w:r>
      <w:r w:rsidR="009957EF">
        <w:rPr>
          <w:szCs w:val="28"/>
        </w:rPr>
        <w:t>:</w:t>
      </w:r>
    </w:p>
    <w:tbl>
      <w:tblPr>
        <w:tblpPr w:leftFromText="180" w:rightFromText="180" w:vertAnchor="text" w:horzAnchor="margin" w:tblpY="237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68"/>
        <w:gridCol w:w="2268"/>
        <w:gridCol w:w="850"/>
        <w:gridCol w:w="1559"/>
        <w:gridCol w:w="1701"/>
        <w:gridCol w:w="1418"/>
      </w:tblGrid>
      <w:tr w:rsidR="00BD1B5D" w:rsidRPr="00C84F85" w:rsidTr="005C3624">
        <w:tc>
          <w:tcPr>
            <w:tcW w:w="9418" w:type="dxa"/>
            <w:gridSpan w:val="7"/>
          </w:tcPr>
          <w:p w:rsidR="00BD1B5D" w:rsidRPr="00BD1B5D" w:rsidRDefault="00BD1B5D" w:rsidP="00BD1B5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D1B5D">
              <w:rPr>
                <w:sz w:val="20"/>
                <w:szCs w:val="20"/>
              </w:rPr>
              <w:t xml:space="preserve">5. Обеспечение качества проведения </w:t>
            </w:r>
            <w:r>
              <w:rPr>
                <w:sz w:val="20"/>
                <w:szCs w:val="20"/>
              </w:rPr>
              <w:t>г</w:t>
            </w:r>
            <w:r w:rsidRPr="00BD1B5D">
              <w:rPr>
                <w:sz w:val="20"/>
                <w:szCs w:val="20"/>
              </w:rPr>
              <w:t>осударственной экспертизы проектной документации Еврейской автономной области</w:t>
            </w:r>
          </w:p>
        </w:tc>
      </w:tr>
      <w:tr w:rsidR="00BD1B5D" w:rsidRPr="00C84F85" w:rsidTr="005C3624">
        <w:tc>
          <w:tcPr>
            <w:tcW w:w="9418" w:type="dxa"/>
            <w:gridSpan w:val="7"/>
          </w:tcPr>
          <w:p w:rsidR="00BD1B5D" w:rsidRPr="00BD1B5D" w:rsidRDefault="00BD1B5D" w:rsidP="00BD1B5D">
            <w:pPr>
              <w:pStyle w:val="ConsPlusNormal"/>
              <w:outlineLvl w:val="5"/>
              <w:rPr>
                <w:sz w:val="20"/>
                <w:szCs w:val="20"/>
              </w:rPr>
            </w:pPr>
            <w:r w:rsidRPr="00BD1B5D">
              <w:rPr>
                <w:sz w:val="20"/>
                <w:szCs w:val="20"/>
              </w:rPr>
              <w:t>Основное мероприятие 5. Обеспечение деятельности ОГБУ «</w:t>
            </w:r>
            <w:r>
              <w:rPr>
                <w:sz w:val="20"/>
                <w:szCs w:val="20"/>
              </w:rPr>
              <w:t>Г</w:t>
            </w:r>
            <w:r w:rsidRPr="00BD1B5D">
              <w:rPr>
                <w:sz w:val="20"/>
                <w:szCs w:val="20"/>
              </w:rPr>
              <w:t>осударственная экспертиза проектной документации Еврейской автономной области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BD1B5D" w:rsidRPr="00C84F85" w:rsidTr="005C3624">
        <w:tc>
          <w:tcPr>
            <w:tcW w:w="454" w:type="dxa"/>
          </w:tcPr>
          <w:p w:rsidR="00BD1B5D" w:rsidRPr="009957EF" w:rsidRDefault="00BD1B5D" w:rsidP="00BD1B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957EF">
              <w:rPr>
                <w:sz w:val="16"/>
                <w:szCs w:val="16"/>
              </w:rPr>
              <w:t>.1</w:t>
            </w:r>
          </w:p>
        </w:tc>
        <w:tc>
          <w:tcPr>
            <w:tcW w:w="1168" w:type="dxa"/>
          </w:tcPr>
          <w:p w:rsidR="00BD1B5D" w:rsidRPr="009957EF" w:rsidRDefault="00BD1B5D" w:rsidP="00BD1B5D">
            <w:pPr>
              <w:pStyle w:val="ConsPlusNormal"/>
              <w:rPr>
                <w:sz w:val="16"/>
                <w:szCs w:val="16"/>
              </w:rPr>
            </w:pPr>
            <w:r w:rsidRPr="009957EF">
              <w:rPr>
                <w:sz w:val="16"/>
                <w:szCs w:val="16"/>
              </w:rPr>
              <w:t>Расходы на</w:t>
            </w:r>
            <w:r>
              <w:rPr>
                <w:sz w:val="16"/>
                <w:szCs w:val="16"/>
              </w:rPr>
              <w:t xml:space="preserve"> обеспечение деятельности ОГБУ </w:t>
            </w:r>
            <w:r w:rsidRPr="005C3624">
              <w:rPr>
                <w:sz w:val="14"/>
                <w:szCs w:val="16"/>
              </w:rPr>
              <w:t>«</w:t>
            </w:r>
            <w:r w:rsidRPr="005C3624">
              <w:rPr>
                <w:sz w:val="18"/>
                <w:szCs w:val="20"/>
              </w:rPr>
              <w:t>Г</w:t>
            </w:r>
            <w:r w:rsidRPr="005C3624">
              <w:rPr>
                <w:sz w:val="14"/>
                <w:szCs w:val="20"/>
              </w:rPr>
              <w:t>осударственная экспертиза проектной документации Еврейской автономной области»</w:t>
            </w:r>
          </w:p>
        </w:tc>
        <w:tc>
          <w:tcPr>
            <w:tcW w:w="2268" w:type="dxa"/>
          </w:tcPr>
          <w:p w:rsidR="00BD1B5D" w:rsidRPr="009957EF" w:rsidRDefault="00BD1B5D" w:rsidP="00BD1B5D">
            <w:pPr>
              <w:pStyle w:val="ConsPlusNormal"/>
              <w:rPr>
                <w:sz w:val="16"/>
                <w:szCs w:val="16"/>
              </w:rPr>
            </w:pPr>
            <w:r w:rsidRPr="009957EF">
              <w:rPr>
                <w:sz w:val="16"/>
                <w:szCs w:val="16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Pr="005C3624">
              <w:rPr>
                <w:sz w:val="16"/>
                <w:szCs w:val="20"/>
              </w:rPr>
              <w:t>«Государственная экспертиза проектной документации Еврейской автономной области»</w:t>
            </w:r>
          </w:p>
        </w:tc>
        <w:tc>
          <w:tcPr>
            <w:tcW w:w="850" w:type="dxa"/>
          </w:tcPr>
          <w:p w:rsidR="00BD1B5D" w:rsidRPr="009957EF" w:rsidRDefault="00BD1B5D" w:rsidP="00BD1B5D">
            <w:pPr>
              <w:pStyle w:val="ConsPlusNormal"/>
              <w:rPr>
                <w:sz w:val="16"/>
                <w:szCs w:val="16"/>
              </w:rPr>
            </w:pPr>
            <w:r w:rsidRPr="009957EF"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</w:rPr>
              <w:t>–</w:t>
            </w:r>
            <w:r w:rsidRPr="009957EF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1559" w:type="dxa"/>
          </w:tcPr>
          <w:p w:rsidR="00BD1B5D" w:rsidRPr="009957EF" w:rsidRDefault="00BD1B5D" w:rsidP="00BD1B5D">
            <w:pPr>
              <w:pStyle w:val="ConsPlusNormal"/>
              <w:rPr>
                <w:sz w:val="16"/>
                <w:szCs w:val="16"/>
              </w:rPr>
            </w:pPr>
            <w:r w:rsidRPr="009957EF">
              <w:rPr>
                <w:sz w:val="16"/>
                <w:szCs w:val="16"/>
              </w:rPr>
              <w:t xml:space="preserve">Обеспечение деятельности ОГБУ </w:t>
            </w:r>
            <w:r w:rsidR="005C3624" w:rsidRPr="005C3624">
              <w:rPr>
                <w:sz w:val="16"/>
                <w:szCs w:val="20"/>
              </w:rPr>
              <w:t>«Государственная экспертиза проектной документации Еврейской автономной области»</w:t>
            </w:r>
          </w:p>
        </w:tc>
        <w:tc>
          <w:tcPr>
            <w:tcW w:w="1701" w:type="dxa"/>
          </w:tcPr>
          <w:p w:rsidR="00BD1B5D" w:rsidRPr="005C3624" w:rsidRDefault="005C3624" w:rsidP="005C3624">
            <w:pPr>
              <w:pStyle w:val="ConsPlusNormal"/>
              <w:rPr>
                <w:sz w:val="16"/>
                <w:szCs w:val="16"/>
              </w:rPr>
            </w:pPr>
            <w:r w:rsidRPr="005C3624">
              <w:rPr>
                <w:sz w:val="16"/>
                <w:szCs w:val="16"/>
              </w:rPr>
              <w:t xml:space="preserve">Отсутствие экспертизы проектной документации по </w:t>
            </w:r>
            <w:r w:rsidR="00BD1B5D" w:rsidRPr="005C3624">
              <w:rPr>
                <w:sz w:val="16"/>
                <w:szCs w:val="16"/>
              </w:rPr>
              <w:t>капитально</w:t>
            </w:r>
            <w:r w:rsidRPr="005C3624">
              <w:rPr>
                <w:sz w:val="16"/>
                <w:szCs w:val="16"/>
              </w:rPr>
              <w:t>му строительству</w:t>
            </w:r>
            <w:r w:rsidR="00BD1B5D" w:rsidRPr="005C3624">
              <w:rPr>
                <w:sz w:val="16"/>
                <w:szCs w:val="16"/>
              </w:rPr>
              <w:t xml:space="preserve"> государственной собственности области</w:t>
            </w:r>
          </w:p>
        </w:tc>
        <w:tc>
          <w:tcPr>
            <w:tcW w:w="1418" w:type="dxa"/>
          </w:tcPr>
          <w:p w:rsidR="00BD1B5D" w:rsidRPr="005C3624" w:rsidRDefault="00BD1B5D" w:rsidP="005C3624">
            <w:pPr>
              <w:pStyle w:val="ConsPlusNormal"/>
              <w:rPr>
                <w:sz w:val="16"/>
                <w:szCs w:val="16"/>
              </w:rPr>
            </w:pPr>
            <w:r w:rsidRPr="005C3624">
              <w:rPr>
                <w:sz w:val="16"/>
                <w:szCs w:val="16"/>
              </w:rPr>
              <w:t xml:space="preserve">Обеспечение </w:t>
            </w:r>
            <w:r w:rsidR="005C3624" w:rsidRPr="005C3624">
              <w:rPr>
                <w:sz w:val="16"/>
                <w:szCs w:val="16"/>
              </w:rPr>
              <w:t>качества проведения государственной экспертизы проектной документации по капитальному строительству государственной собственности област</w:t>
            </w:r>
            <w:r w:rsidR="005C3624">
              <w:rPr>
                <w:sz w:val="16"/>
                <w:szCs w:val="16"/>
              </w:rPr>
              <w:t>и»</w:t>
            </w:r>
            <w:r w:rsidR="00D63BBE">
              <w:rPr>
                <w:sz w:val="16"/>
                <w:szCs w:val="16"/>
              </w:rPr>
              <w:t>.</w:t>
            </w:r>
          </w:p>
        </w:tc>
      </w:tr>
    </w:tbl>
    <w:p w:rsidR="00CE6D6C" w:rsidRPr="00CE6D6C" w:rsidRDefault="00CE6D6C" w:rsidP="00CE6D6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70F1E">
        <w:rPr>
          <w:rFonts w:ascii="Times New Roman" w:hAnsi="Times New Roman" w:cs="Times New Roman"/>
          <w:b w:val="0"/>
          <w:sz w:val="28"/>
          <w:szCs w:val="28"/>
        </w:rPr>
        <w:t>1.</w:t>
      </w:r>
      <w:r w:rsidR="00C63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9" w:history="1">
        <w:r w:rsidRPr="00870F1E">
          <w:rPr>
            <w:rFonts w:ascii="Times New Roman" w:hAnsi="Times New Roman" w:cs="Times New Roman"/>
            <w:b w:val="0"/>
            <w:sz w:val="28"/>
            <w:szCs w:val="28"/>
          </w:rPr>
          <w:t xml:space="preserve">Таблицу </w:t>
        </w:r>
      </w:hyperlink>
      <w:r w:rsidRPr="00870F1E">
        <w:rPr>
          <w:rFonts w:ascii="Times New Roman" w:hAnsi="Times New Roman" w:cs="Times New Roman"/>
          <w:b w:val="0"/>
          <w:sz w:val="28"/>
          <w:szCs w:val="28"/>
        </w:rPr>
        <w:t>3 «Прогноз сводных показателей государственных заданий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>а оказание государст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венных услуг (выполнение работ)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ОГБУ «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>Служба заказчика (заст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ройщика) в Еврейской автономной </w:t>
      </w:r>
      <w:r w:rsidR="004A221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>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 xml:space="preserve"> по госу</w:t>
      </w:r>
      <w:r>
        <w:rPr>
          <w:rFonts w:ascii="Times New Roman" w:hAnsi="Times New Roman" w:cs="Times New Roman"/>
          <w:b w:val="0"/>
          <w:sz w:val="28"/>
          <w:szCs w:val="28"/>
        </w:rPr>
        <w:t>дарственной программе Еврейской а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>втономной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«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>Жилище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 xml:space="preserve"> на 2021 - 2024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E6D6C">
        <w:rPr>
          <w:rFonts w:ascii="Times New Roman" w:hAnsi="Times New Roman" w:cs="Times New Roman"/>
          <w:b w:val="0"/>
          <w:sz w:val="28"/>
          <w:szCs w:val="28"/>
        </w:rPr>
        <w:t>раздела 9 «Прогноз сводных показателей государственных заданий по этапам реализации государственной программы»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  <w:r w:rsidRPr="00CE6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3EC2" w:rsidRPr="00CF3EC2" w:rsidRDefault="00CF3EC2" w:rsidP="00CF3EC2">
      <w:pPr>
        <w:pStyle w:val="ConsPlusNormal"/>
        <w:jc w:val="right"/>
        <w:outlineLvl w:val="2"/>
        <w:rPr>
          <w:sz w:val="28"/>
          <w:szCs w:val="28"/>
        </w:rPr>
      </w:pPr>
      <w:r w:rsidRPr="00CF3EC2">
        <w:rPr>
          <w:sz w:val="28"/>
          <w:szCs w:val="28"/>
        </w:rPr>
        <w:t>«Таблица 3</w:t>
      </w:r>
    </w:p>
    <w:p w:rsidR="00CF3EC2" w:rsidRPr="00C84F85" w:rsidRDefault="00CF3EC2" w:rsidP="00CF3EC2">
      <w:pPr>
        <w:pStyle w:val="ConsPlusNormal"/>
        <w:jc w:val="both"/>
        <w:rPr>
          <w:sz w:val="16"/>
          <w:szCs w:val="16"/>
        </w:rPr>
      </w:pPr>
    </w:p>
    <w:p w:rsidR="00CF3EC2" w:rsidRPr="00CF3EC2" w:rsidRDefault="00CF3EC2" w:rsidP="00CF3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EC2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</w:t>
      </w:r>
    </w:p>
    <w:p w:rsidR="00CF3EC2" w:rsidRPr="00CF3EC2" w:rsidRDefault="00CF3EC2" w:rsidP="00CF3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3EC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CF3EC2">
        <w:rPr>
          <w:rFonts w:ascii="Times New Roman" w:hAnsi="Times New Roman" w:cs="Times New Roman"/>
          <w:b w:val="0"/>
          <w:sz w:val="28"/>
          <w:szCs w:val="28"/>
        </w:rPr>
        <w:t xml:space="preserve"> оказание государственных услуг (выполнение работ)</w:t>
      </w:r>
    </w:p>
    <w:p w:rsidR="00CF3EC2" w:rsidRPr="00CF3EC2" w:rsidRDefault="00CF3EC2" w:rsidP="00CF3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EC2">
        <w:rPr>
          <w:rFonts w:ascii="Times New Roman" w:hAnsi="Times New Roman" w:cs="Times New Roman"/>
          <w:b w:val="0"/>
          <w:sz w:val="28"/>
          <w:szCs w:val="28"/>
        </w:rPr>
        <w:t>ОГБУ «Служба заказчика (застройщика) в Еврейской автономной</w:t>
      </w:r>
    </w:p>
    <w:p w:rsidR="00CF3EC2" w:rsidRPr="00CF3EC2" w:rsidRDefault="004A2213" w:rsidP="00CF3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F3EC2" w:rsidRPr="00CF3EC2">
        <w:rPr>
          <w:rFonts w:ascii="Times New Roman" w:hAnsi="Times New Roman" w:cs="Times New Roman"/>
          <w:b w:val="0"/>
          <w:sz w:val="28"/>
          <w:szCs w:val="28"/>
        </w:rPr>
        <w:t>бласти</w:t>
      </w:r>
      <w:proofErr w:type="gramEnd"/>
      <w:r w:rsidR="00CF3EC2" w:rsidRPr="00CF3EC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CF3EC2" w:rsidRPr="00CF3EC2">
        <w:rPr>
          <w:rFonts w:ascii="Times New Roman" w:hAnsi="Times New Roman" w:cs="Times New Roman"/>
          <w:b w:val="0"/>
          <w:sz w:val="28"/>
          <w:szCs w:val="28"/>
        </w:rPr>
        <w:t>ОГБУ «Государственная экспертиза проектной документации Еврейской автономной области» по государственной программе Еврейской</w:t>
      </w:r>
    </w:p>
    <w:p w:rsidR="00CF3EC2" w:rsidRDefault="00CF3EC2" w:rsidP="00CF3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3EC2">
        <w:rPr>
          <w:rFonts w:ascii="Times New Roman" w:hAnsi="Times New Roman" w:cs="Times New Roman"/>
          <w:b w:val="0"/>
          <w:sz w:val="28"/>
          <w:szCs w:val="28"/>
        </w:rPr>
        <w:t>автономной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«Жилище»</w:t>
      </w:r>
      <w:r w:rsidR="004A2213">
        <w:rPr>
          <w:rFonts w:ascii="Times New Roman" w:hAnsi="Times New Roman" w:cs="Times New Roman"/>
          <w:b w:val="0"/>
          <w:sz w:val="28"/>
          <w:szCs w:val="28"/>
        </w:rPr>
        <w:t xml:space="preserve"> на 2021 – </w:t>
      </w:r>
      <w:r w:rsidRPr="00CF3EC2">
        <w:rPr>
          <w:rFonts w:ascii="Times New Roman" w:hAnsi="Times New Roman" w:cs="Times New Roman"/>
          <w:b w:val="0"/>
          <w:sz w:val="28"/>
          <w:szCs w:val="28"/>
        </w:rPr>
        <w:t>2024 годы</w:t>
      </w:r>
    </w:p>
    <w:p w:rsidR="00CF3EC2" w:rsidRPr="00CF3EC2" w:rsidRDefault="00CF3EC2" w:rsidP="00CF3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604"/>
        <w:gridCol w:w="604"/>
        <w:gridCol w:w="604"/>
        <w:gridCol w:w="604"/>
        <w:gridCol w:w="904"/>
        <w:gridCol w:w="904"/>
        <w:gridCol w:w="904"/>
        <w:gridCol w:w="1246"/>
      </w:tblGrid>
      <w:tr w:rsidR="00CF3EC2" w:rsidRPr="00CF3EC2" w:rsidTr="004A2213">
        <w:tc>
          <w:tcPr>
            <w:tcW w:w="454" w:type="dxa"/>
            <w:vMerge w:val="restart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665" w:type="dxa"/>
            <w:vMerge w:val="restart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2416" w:type="dxa"/>
            <w:gridSpan w:val="4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3958" w:type="dxa"/>
            <w:gridSpan w:val="4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CF3EC2" w:rsidRPr="00CF3EC2" w:rsidTr="004A2213">
        <w:tc>
          <w:tcPr>
            <w:tcW w:w="454" w:type="dxa"/>
            <w:vMerge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2021 год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2022 год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2023 год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2024 год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2021 год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2022 год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2023 год</w:t>
            </w:r>
          </w:p>
        </w:tc>
        <w:tc>
          <w:tcPr>
            <w:tcW w:w="1246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2024 год</w:t>
            </w:r>
          </w:p>
        </w:tc>
      </w:tr>
      <w:tr w:rsidR="00CF3EC2" w:rsidRPr="00CF3EC2" w:rsidTr="004A2213">
        <w:tc>
          <w:tcPr>
            <w:tcW w:w="45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9</w:t>
            </w:r>
          </w:p>
        </w:tc>
        <w:tc>
          <w:tcPr>
            <w:tcW w:w="1246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10</w:t>
            </w:r>
          </w:p>
        </w:tc>
      </w:tr>
      <w:tr w:rsidR="00CF3EC2" w:rsidRPr="00CF3EC2" w:rsidTr="004A2213">
        <w:tc>
          <w:tcPr>
            <w:tcW w:w="45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21220,5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21003,2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12758,8</w:t>
            </w:r>
          </w:p>
        </w:tc>
        <w:tc>
          <w:tcPr>
            <w:tcW w:w="1246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12758,8</w:t>
            </w:r>
          </w:p>
        </w:tc>
      </w:tr>
      <w:tr w:rsidR="00CF3EC2" w:rsidRPr="00CF3EC2" w:rsidTr="004A2213">
        <w:tc>
          <w:tcPr>
            <w:tcW w:w="45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Обеспечение выполнения строительно-монтажных работ (единицы)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3EC2" w:rsidRPr="00CF3EC2" w:rsidTr="004A2213">
        <w:tc>
          <w:tcPr>
            <w:tcW w:w="45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1.2</w:t>
            </w:r>
          </w:p>
        </w:tc>
        <w:tc>
          <w:tcPr>
            <w:tcW w:w="2665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3EC2" w:rsidRPr="00CF3EC2" w:rsidTr="004A2213">
        <w:tc>
          <w:tcPr>
            <w:tcW w:w="45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1.3</w:t>
            </w:r>
          </w:p>
        </w:tc>
        <w:tc>
          <w:tcPr>
            <w:tcW w:w="2665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CF3EC2" w:rsidRPr="00CF3EC2" w:rsidRDefault="00CF3EC2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EC2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CF3EC2" w:rsidRPr="00CF3EC2" w:rsidRDefault="00CF3EC2" w:rsidP="002456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A2213" w:rsidRPr="00CF3EC2" w:rsidTr="00C6393D">
        <w:tc>
          <w:tcPr>
            <w:tcW w:w="454" w:type="dxa"/>
          </w:tcPr>
          <w:p w:rsidR="004A2213" w:rsidRPr="00CF3EC2" w:rsidRDefault="004A2213" w:rsidP="002456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vAlign w:val="center"/>
          </w:tcPr>
          <w:p w:rsidR="004A2213" w:rsidRPr="00CF3EC2" w:rsidRDefault="004A2213" w:rsidP="002456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6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904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5250,0</w:t>
            </w:r>
          </w:p>
        </w:tc>
        <w:tc>
          <w:tcPr>
            <w:tcW w:w="1246" w:type="dxa"/>
          </w:tcPr>
          <w:p w:rsidR="004A2213" w:rsidRPr="00CF3EC2" w:rsidRDefault="004A2213" w:rsidP="004A2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5250,0».</w:t>
            </w:r>
          </w:p>
        </w:tc>
      </w:tr>
    </w:tbl>
    <w:p w:rsidR="00C6393D" w:rsidRDefault="00C6393D" w:rsidP="00C6393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70F1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 разделе 10 «</w:t>
      </w:r>
      <w:r w:rsidRPr="0077513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513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C6393D" w:rsidRDefault="00C6393D" w:rsidP="00C6393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абзац первый изложить в следующей редакции:</w:t>
      </w:r>
    </w:p>
    <w:p w:rsidR="008B7E5D" w:rsidRPr="00775130" w:rsidRDefault="008B7E5D" w:rsidP="008B7E5D">
      <w:pPr>
        <w:pStyle w:val="ConsPlusNormal"/>
        <w:spacing w:line="19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75130">
        <w:rPr>
          <w:color w:val="000000" w:themeColor="text1"/>
          <w:sz w:val="28"/>
          <w:szCs w:val="28"/>
        </w:rPr>
        <w:t xml:space="preserve">Общий объем средств, привлекаемых для реализации программы в 2021 – 2024 годах, составит </w:t>
      </w:r>
      <w:r>
        <w:rPr>
          <w:color w:val="000000" w:themeColor="text1"/>
          <w:sz w:val="28"/>
          <w:szCs w:val="28"/>
        </w:rPr>
        <w:t>5013951,6</w:t>
      </w:r>
      <w:r w:rsidRPr="00775130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– </w:t>
      </w:r>
      <w:r>
        <w:rPr>
          <w:color w:val="000000" w:themeColor="text1"/>
          <w:sz w:val="28"/>
          <w:szCs w:val="28"/>
        </w:rPr>
        <w:t>115300,7</w:t>
      </w:r>
      <w:r w:rsidRPr="00775130">
        <w:rPr>
          <w:color w:val="000000" w:themeColor="text1"/>
          <w:sz w:val="28"/>
          <w:szCs w:val="28"/>
        </w:rPr>
        <w:t xml:space="preserve"> тыс. рублей; средства федерального   бюджета – 2360650,9 тыс. рублей; внебюджетные источники – 2538000,0 тыс. рублей, в том числе:</w:t>
      </w:r>
      <w:r>
        <w:rPr>
          <w:color w:val="000000" w:themeColor="text1"/>
          <w:sz w:val="28"/>
          <w:szCs w:val="28"/>
        </w:rPr>
        <w:t>»;</w:t>
      </w:r>
    </w:p>
    <w:p w:rsidR="00C6393D" w:rsidRPr="00775130" w:rsidRDefault="00C6393D" w:rsidP="00C6393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B7E5D" w:rsidRDefault="008B7E5D" w:rsidP="00B264E6">
      <w:pPr>
        <w:pStyle w:val="ConsPlusNormal"/>
        <w:spacing w:line="19" w:lineRule="atLeast"/>
        <w:ind w:firstLine="709"/>
        <w:jc w:val="both"/>
        <w:rPr>
          <w:sz w:val="28"/>
          <w:szCs w:val="28"/>
        </w:rPr>
      </w:pPr>
      <w:r w:rsidRPr="008B7E5D">
        <w:rPr>
          <w:sz w:val="28"/>
          <w:szCs w:val="28"/>
        </w:rPr>
        <w:lastRenderedPageBreak/>
        <w:t xml:space="preserve">- абзац </w:t>
      </w:r>
      <w:r>
        <w:rPr>
          <w:sz w:val="28"/>
          <w:szCs w:val="28"/>
        </w:rPr>
        <w:t>третий</w:t>
      </w:r>
      <w:r w:rsidRPr="008B7E5D">
        <w:rPr>
          <w:sz w:val="28"/>
          <w:szCs w:val="28"/>
        </w:rPr>
        <w:t xml:space="preserve"> изложить в следующей редакции:</w:t>
      </w:r>
    </w:p>
    <w:p w:rsidR="00E36176" w:rsidRDefault="008B7E5D" w:rsidP="00B264E6">
      <w:pPr>
        <w:pStyle w:val="ConsPlusNormal"/>
        <w:spacing w:line="19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B66BC" w:rsidRPr="00775130">
        <w:rPr>
          <w:color w:val="000000" w:themeColor="text1"/>
          <w:sz w:val="28"/>
          <w:szCs w:val="28"/>
        </w:rPr>
        <w:t>-</w:t>
      </w:r>
      <w:r w:rsidR="00E36176" w:rsidRPr="00775130">
        <w:rPr>
          <w:color w:val="000000" w:themeColor="text1"/>
          <w:sz w:val="28"/>
          <w:szCs w:val="28"/>
        </w:rPr>
        <w:t xml:space="preserve"> в 2022 году общий объем финансирования составит </w:t>
      </w:r>
      <w:r>
        <w:rPr>
          <w:color w:val="000000" w:themeColor="text1"/>
          <w:sz w:val="28"/>
          <w:szCs w:val="28"/>
        </w:rPr>
        <w:t>1038915,5</w:t>
      </w:r>
      <w:r w:rsidR="00E36176" w:rsidRPr="00775130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</w:t>
      </w:r>
      <w:r w:rsidR="005131D7" w:rsidRPr="00775130">
        <w:rPr>
          <w:color w:val="000000" w:themeColor="text1"/>
          <w:sz w:val="28"/>
          <w:szCs w:val="28"/>
        </w:rPr>
        <w:t>–</w:t>
      </w:r>
      <w:r w:rsidR="0091441E" w:rsidRPr="007751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35669,3</w:t>
      </w:r>
      <w:r w:rsidR="00E36176" w:rsidRPr="00775130">
        <w:rPr>
          <w:color w:val="000000" w:themeColor="text1"/>
          <w:sz w:val="28"/>
          <w:szCs w:val="28"/>
        </w:rPr>
        <w:t xml:space="preserve"> тыс. рублей; средства федерального бюджета </w:t>
      </w:r>
      <w:r w:rsidR="005131D7" w:rsidRPr="00775130">
        <w:rPr>
          <w:color w:val="000000" w:themeColor="text1"/>
          <w:sz w:val="28"/>
          <w:szCs w:val="28"/>
        </w:rPr>
        <w:t>–</w:t>
      </w:r>
      <w:r w:rsidR="0091441E" w:rsidRPr="00775130">
        <w:rPr>
          <w:color w:val="000000" w:themeColor="text1"/>
          <w:sz w:val="28"/>
          <w:szCs w:val="28"/>
        </w:rPr>
        <w:t xml:space="preserve"> </w:t>
      </w:r>
      <w:r w:rsidR="00667CC6" w:rsidRPr="00775130">
        <w:rPr>
          <w:color w:val="000000" w:themeColor="text1"/>
          <w:sz w:val="28"/>
          <w:szCs w:val="28"/>
        </w:rPr>
        <w:t>383246,2</w:t>
      </w:r>
      <w:r w:rsidR="00E36176" w:rsidRPr="00775130">
        <w:rPr>
          <w:color w:val="000000" w:themeColor="text1"/>
          <w:sz w:val="28"/>
          <w:szCs w:val="28"/>
        </w:rPr>
        <w:t xml:space="preserve"> тыс. рублей; внебюджетные источники </w:t>
      </w:r>
      <w:r w:rsidR="005131D7" w:rsidRPr="00775130">
        <w:rPr>
          <w:color w:val="000000" w:themeColor="text1"/>
          <w:sz w:val="28"/>
          <w:szCs w:val="28"/>
        </w:rPr>
        <w:t>–</w:t>
      </w:r>
      <w:r w:rsidR="00FF6A21" w:rsidRPr="00775130">
        <w:rPr>
          <w:color w:val="000000" w:themeColor="text1"/>
          <w:sz w:val="28"/>
          <w:szCs w:val="28"/>
        </w:rPr>
        <w:t xml:space="preserve"> </w:t>
      </w:r>
      <w:r w:rsidR="00E36176" w:rsidRPr="00775130">
        <w:rPr>
          <w:color w:val="000000" w:themeColor="text1"/>
          <w:sz w:val="28"/>
          <w:szCs w:val="28"/>
        </w:rPr>
        <w:t>620000,0 тыс. рублей;</w:t>
      </w:r>
      <w:r>
        <w:rPr>
          <w:color w:val="000000" w:themeColor="text1"/>
          <w:sz w:val="28"/>
          <w:szCs w:val="28"/>
        </w:rPr>
        <w:t>».</w:t>
      </w:r>
    </w:p>
    <w:p w:rsidR="00834A59" w:rsidRPr="00834A59" w:rsidRDefault="00D86279" w:rsidP="00834A59">
      <w:pPr>
        <w:widowControl w:val="0"/>
        <w:autoSpaceDE w:val="0"/>
        <w:autoSpaceDN w:val="0"/>
        <w:spacing w:after="0" w:line="19" w:lineRule="atLeast"/>
        <w:contextualSpacing/>
        <w:jc w:val="both"/>
        <w:outlineLvl w:val="3"/>
        <w:rPr>
          <w:color w:val="000000" w:themeColor="text1"/>
          <w:szCs w:val="28"/>
        </w:rPr>
      </w:pPr>
      <w:r w:rsidRPr="00007FC4">
        <w:rPr>
          <w:b/>
          <w:color w:val="FF0000"/>
          <w:szCs w:val="28"/>
        </w:rPr>
        <w:tab/>
      </w:r>
      <w:r w:rsidR="00290CA6" w:rsidRPr="00834A59">
        <w:rPr>
          <w:b/>
          <w:color w:val="000000" w:themeColor="text1"/>
          <w:szCs w:val="28"/>
        </w:rPr>
        <w:t xml:space="preserve">- </w:t>
      </w:r>
      <w:r w:rsidR="00290CA6" w:rsidRPr="00834A59">
        <w:rPr>
          <w:color w:val="000000" w:themeColor="text1"/>
          <w:szCs w:val="28"/>
        </w:rPr>
        <w:t>строку</w:t>
      </w:r>
      <w:r w:rsidR="00290CA6" w:rsidRPr="00834A59">
        <w:rPr>
          <w:b/>
          <w:color w:val="000000" w:themeColor="text1"/>
          <w:szCs w:val="28"/>
        </w:rPr>
        <w:t xml:space="preserve"> «</w:t>
      </w:r>
      <w:r w:rsidR="00290CA6" w:rsidRPr="00834A59">
        <w:rPr>
          <w:color w:val="000000" w:themeColor="text1"/>
          <w:szCs w:val="28"/>
          <w:lang w:eastAsia="ru-RU"/>
        </w:rPr>
        <w:t>Государственная программа «Жилище» на 2021 – 2024 годы</w:t>
      </w:r>
      <w:r w:rsidR="00290CA6" w:rsidRPr="00834A59">
        <w:rPr>
          <w:color w:val="000000" w:themeColor="text1"/>
          <w:szCs w:val="28"/>
        </w:rPr>
        <w:t xml:space="preserve"> </w:t>
      </w:r>
      <w:r w:rsidR="00834A59" w:rsidRPr="00834A59">
        <w:rPr>
          <w:color w:val="000000" w:themeColor="text1"/>
          <w:szCs w:val="28"/>
        </w:rPr>
        <w:t xml:space="preserve">в </w:t>
      </w:r>
      <w:hyperlink r:id="rId10" w:history="1">
        <w:r w:rsidRPr="00834A59">
          <w:rPr>
            <w:color w:val="000000" w:themeColor="text1"/>
            <w:szCs w:val="28"/>
          </w:rPr>
          <w:t>Таблиц</w:t>
        </w:r>
        <w:r w:rsidR="00834A59" w:rsidRPr="00834A59">
          <w:rPr>
            <w:color w:val="000000" w:themeColor="text1"/>
            <w:szCs w:val="28"/>
          </w:rPr>
          <w:t>е</w:t>
        </w:r>
        <w:r w:rsidRPr="00834A59">
          <w:rPr>
            <w:color w:val="000000" w:themeColor="text1"/>
            <w:szCs w:val="28"/>
          </w:rPr>
          <w:t xml:space="preserve"> </w:t>
        </w:r>
      </w:hyperlink>
      <w:r w:rsidRPr="00834A59">
        <w:rPr>
          <w:color w:val="000000" w:themeColor="text1"/>
          <w:szCs w:val="28"/>
        </w:rPr>
        <w:t>4 «</w:t>
      </w:r>
      <w:r w:rsidRPr="00834A59">
        <w:rPr>
          <w:color w:val="000000" w:themeColor="text1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</w:t>
      </w:r>
      <w:r w:rsidRPr="00834A59">
        <w:rPr>
          <w:color w:val="000000" w:themeColor="text1"/>
          <w:szCs w:val="28"/>
        </w:rPr>
        <w:t>»</w:t>
      </w:r>
      <w:r w:rsidRPr="00834A59">
        <w:rPr>
          <w:b/>
          <w:color w:val="000000" w:themeColor="text1"/>
          <w:szCs w:val="28"/>
        </w:rPr>
        <w:t xml:space="preserve"> </w:t>
      </w:r>
      <w:r w:rsidRPr="00834A59">
        <w:rPr>
          <w:color w:val="000000" w:themeColor="text1"/>
          <w:szCs w:val="28"/>
        </w:rPr>
        <w:t xml:space="preserve">раздела 10 «Ресурсное обеспечение реализации Государственной программы» </w:t>
      </w:r>
      <w:r w:rsidR="00834A59" w:rsidRPr="00834A59">
        <w:rPr>
          <w:color w:val="000000" w:themeColor="text1"/>
          <w:szCs w:val="28"/>
        </w:rPr>
        <w:t>изложить в следующей редакции:</w:t>
      </w:r>
    </w:p>
    <w:p w:rsidR="00D86279" w:rsidRPr="00775130" w:rsidRDefault="00D86279" w:rsidP="00B264E6">
      <w:pPr>
        <w:pStyle w:val="ConsPlusNormal"/>
        <w:spacing w:line="19" w:lineRule="atLeast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1417"/>
        <w:gridCol w:w="426"/>
        <w:gridCol w:w="567"/>
        <w:gridCol w:w="1077"/>
        <w:gridCol w:w="848"/>
        <w:gridCol w:w="849"/>
        <w:gridCol w:w="849"/>
        <w:gridCol w:w="713"/>
        <w:gridCol w:w="712"/>
      </w:tblGrid>
      <w:tr w:rsidR="00A164C0" w:rsidRPr="00E9741A" w:rsidTr="00B246CF">
        <w:trPr>
          <w:trHeight w:val="20"/>
        </w:trPr>
        <w:tc>
          <w:tcPr>
            <w:tcW w:w="279" w:type="dxa"/>
            <w:vMerge w:val="restart"/>
          </w:tcPr>
          <w:p w:rsidR="00A164C0" w:rsidRPr="00E9741A" w:rsidRDefault="00A164C0" w:rsidP="00B264E6">
            <w:pPr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1701" w:type="dxa"/>
            <w:vMerge w:val="restart"/>
          </w:tcPr>
          <w:p w:rsidR="00A164C0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outlineLvl w:val="3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D94239">
              <w:rPr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Жилище</w:t>
            </w:r>
            <w:r w:rsidR="00D94239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 на </w:t>
            </w:r>
          </w:p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outlineLvl w:val="3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2021 – 2024 годы</w:t>
            </w:r>
          </w:p>
        </w:tc>
        <w:tc>
          <w:tcPr>
            <w:tcW w:w="141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A164C0" w:rsidRPr="00E9741A" w:rsidRDefault="00834A59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115300,7</w:t>
            </w:r>
          </w:p>
        </w:tc>
        <w:tc>
          <w:tcPr>
            <w:tcW w:w="849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32113,2</w:t>
            </w:r>
          </w:p>
        </w:tc>
        <w:tc>
          <w:tcPr>
            <w:tcW w:w="849" w:type="dxa"/>
          </w:tcPr>
          <w:p w:rsidR="00A164C0" w:rsidRPr="00E9741A" w:rsidRDefault="00834A59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35669,3</w:t>
            </w:r>
          </w:p>
        </w:tc>
        <w:tc>
          <w:tcPr>
            <w:tcW w:w="713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23934,3</w:t>
            </w:r>
          </w:p>
        </w:tc>
        <w:tc>
          <w:tcPr>
            <w:tcW w:w="712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23583,9</w:t>
            </w:r>
          </w:p>
        </w:tc>
      </w:tr>
      <w:tr w:rsidR="00A164C0" w:rsidRPr="00E9741A" w:rsidTr="00B246CF">
        <w:trPr>
          <w:trHeight w:val="1994"/>
        </w:trPr>
        <w:tc>
          <w:tcPr>
            <w:tcW w:w="279" w:type="dxa"/>
            <w:vMerge/>
          </w:tcPr>
          <w:p w:rsidR="00A164C0" w:rsidRPr="00E9741A" w:rsidRDefault="00A164C0" w:rsidP="00B264E6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64C0" w:rsidRPr="00E9741A" w:rsidRDefault="00A164C0" w:rsidP="00B264E6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26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1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6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8" w:type="dxa"/>
          </w:tcPr>
          <w:p w:rsidR="00A164C0" w:rsidRPr="00E9741A" w:rsidRDefault="00834A59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69617,5</w:t>
            </w:r>
          </w:p>
        </w:tc>
        <w:tc>
          <w:tcPr>
            <w:tcW w:w="849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21220,5</w:t>
            </w:r>
          </w:p>
        </w:tc>
        <w:tc>
          <w:tcPr>
            <w:tcW w:w="849" w:type="dxa"/>
          </w:tcPr>
          <w:p w:rsidR="00A164C0" w:rsidRPr="00E9741A" w:rsidRDefault="00834A59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22879,4</w:t>
            </w:r>
          </w:p>
        </w:tc>
        <w:tc>
          <w:tcPr>
            <w:tcW w:w="713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0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  <w:tc>
          <w:tcPr>
            <w:tcW w:w="712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0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</w:tr>
      <w:tr w:rsidR="00A164C0" w:rsidRPr="00E9741A" w:rsidTr="00B246CF">
        <w:trPr>
          <w:trHeight w:val="20"/>
        </w:trPr>
        <w:tc>
          <w:tcPr>
            <w:tcW w:w="279" w:type="dxa"/>
            <w:vMerge/>
          </w:tcPr>
          <w:p w:rsidR="00A164C0" w:rsidRPr="00E9741A" w:rsidRDefault="00A164C0" w:rsidP="00B264E6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64C0" w:rsidRPr="00E9741A" w:rsidRDefault="00A164C0" w:rsidP="00B264E6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по управлению государственным имуществом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26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7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8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39412,8</w:t>
            </w:r>
          </w:p>
        </w:tc>
        <w:tc>
          <w:tcPr>
            <w:tcW w:w="849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9992,7</w:t>
            </w:r>
          </w:p>
        </w:tc>
        <w:tc>
          <w:tcPr>
            <w:tcW w:w="849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9569,9</w:t>
            </w:r>
          </w:p>
        </w:tc>
        <w:tc>
          <w:tcPr>
            <w:tcW w:w="713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ind w:left="-76" w:firstLine="76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12" w:type="dxa"/>
          </w:tcPr>
          <w:p w:rsidR="00A164C0" w:rsidRPr="00E9741A" w:rsidRDefault="00A164C0" w:rsidP="00B264E6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</w:tr>
    </w:tbl>
    <w:p w:rsidR="00B264E6" w:rsidRDefault="00A07A3C" w:rsidP="00993ECA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  <w:r w:rsidRPr="009F501E">
        <w:rPr>
          <w:szCs w:val="28"/>
        </w:rPr>
        <w:t>1.</w:t>
      </w:r>
      <w:r w:rsidR="00E14101">
        <w:rPr>
          <w:szCs w:val="28"/>
        </w:rPr>
        <w:t>5</w:t>
      </w:r>
      <w:r w:rsidRPr="009F501E">
        <w:rPr>
          <w:szCs w:val="28"/>
        </w:rPr>
        <w:t xml:space="preserve">. В </w:t>
      </w:r>
      <w:hyperlink r:id="rId11" w:history="1">
        <w:r w:rsidRPr="009F501E">
          <w:rPr>
            <w:szCs w:val="28"/>
          </w:rPr>
          <w:t xml:space="preserve">таблице </w:t>
        </w:r>
      </w:hyperlink>
      <w:r>
        <w:rPr>
          <w:szCs w:val="28"/>
        </w:rPr>
        <w:t>4</w:t>
      </w:r>
      <w:r w:rsidRPr="009F501E">
        <w:rPr>
          <w:szCs w:val="28"/>
        </w:rPr>
        <w:t xml:space="preserve"> </w:t>
      </w:r>
      <w:r>
        <w:rPr>
          <w:szCs w:val="28"/>
        </w:rPr>
        <w:t>«</w:t>
      </w:r>
      <w:r w:rsidRPr="00834A59">
        <w:rPr>
          <w:color w:val="000000" w:themeColor="text1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</w:t>
      </w:r>
      <w:r w:rsidRPr="00834A59">
        <w:rPr>
          <w:color w:val="000000" w:themeColor="text1"/>
          <w:szCs w:val="28"/>
        </w:rPr>
        <w:t>»</w:t>
      </w:r>
      <w:r w:rsidRPr="00834A59">
        <w:rPr>
          <w:b/>
          <w:color w:val="000000" w:themeColor="text1"/>
          <w:szCs w:val="28"/>
        </w:rPr>
        <w:t xml:space="preserve"> </w:t>
      </w:r>
      <w:r w:rsidRPr="00834A59">
        <w:rPr>
          <w:color w:val="000000" w:themeColor="text1"/>
          <w:szCs w:val="28"/>
        </w:rPr>
        <w:t>раздела 10 «Ресурсное обеспечение реализации Государственной программы»</w:t>
      </w:r>
      <w:r>
        <w:rPr>
          <w:szCs w:val="28"/>
        </w:rPr>
        <w:t>» дополнить разделом 5 следующего содержания: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985"/>
        <w:gridCol w:w="425"/>
        <w:gridCol w:w="709"/>
        <w:gridCol w:w="1134"/>
        <w:gridCol w:w="708"/>
        <w:gridCol w:w="567"/>
        <w:gridCol w:w="638"/>
        <w:gridCol w:w="722"/>
        <w:gridCol w:w="712"/>
      </w:tblGrid>
      <w:tr w:rsidR="00F706D8" w:rsidRPr="00E9741A" w:rsidTr="00A164C0">
        <w:tc>
          <w:tcPr>
            <w:tcW w:w="9438" w:type="dxa"/>
            <w:gridSpan w:val="11"/>
          </w:tcPr>
          <w:p w:rsidR="00F706D8" w:rsidRPr="00E9741A" w:rsidRDefault="004020C8" w:rsidP="000109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</w:t>
            </w:r>
            <w:r w:rsidRPr="00BD1B5D">
              <w:rPr>
                <w:sz w:val="20"/>
                <w:szCs w:val="20"/>
              </w:rPr>
              <w:t xml:space="preserve">5. Обеспечение качества проведения </w:t>
            </w:r>
            <w:r>
              <w:rPr>
                <w:sz w:val="20"/>
                <w:szCs w:val="20"/>
              </w:rPr>
              <w:t>г</w:t>
            </w:r>
            <w:r w:rsidRPr="00BD1B5D">
              <w:rPr>
                <w:sz w:val="20"/>
                <w:szCs w:val="20"/>
              </w:rPr>
              <w:t>осударственной экспертизы проектной документации Еврейской автономной области</w:t>
            </w:r>
          </w:p>
        </w:tc>
      </w:tr>
      <w:tr w:rsidR="00F706D8" w:rsidRPr="00E9741A" w:rsidTr="00E14101">
        <w:trPr>
          <w:trHeight w:val="2839"/>
        </w:trPr>
        <w:tc>
          <w:tcPr>
            <w:tcW w:w="421" w:type="dxa"/>
          </w:tcPr>
          <w:p w:rsidR="00F706D8" w:rsidRPr="00E9741A" w:rsidRDefault="004020C8" w:rsidP="000109C4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  <w:r w:rsidR="00F706D8" w:rsidRPr="00E9741A">
              <w:rPr>
                <w:color w:val="000000" w:themeColor="text1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17" w:type="dxa"/>
          </w:tcPr>
          <w:p w:rsidR="00F706D8" w:rsidRPr="00E9741A" w:rsidRDefault="00F706D8" w:rsidP="00B246C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  <w:r w:rsidRPr="00161D42">
              <w:rPr>
                <w:sz w:val="20"/>
                <w:szCs w:val="20"/>
                <w:lang w:eastAsia="ru-RU"/>
              </w:rPr>
              <w:t xml:space="preserve">мероприятие </w:t>
            </w:r>
            <w:r w:rsidR="00B246CF">
              <w:rPr>
                <w:sz w:val="20"/>
                <w:szCs w:val="20"/>
                <w:lang w:eastAsia="ru-RU"/>
              </w:rPr>
              <w:t>5</w:t>
            </w:r>
            <w:r w:rsidRPr="00161D42">
              <w:rPr>
                <w:sz w:val="20"/>
                <w:szCs w:val="20"/>
                <w:lang w:eastAsia="ru-RU"/>
              </w:rPr>
              <w:t xml:space="preserve">. 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4020C8" w:rsidRPr="004020C8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985" w:type="dxa"/>
          </w:tcPr>
          <w:p w:rsidR="00F706D8" w:rsidRPr="00E9741A" w:rsidRDefault="00F706D8" w:rsidP="000109C4">
            <w:pPr>
              <w:widowControl w:val="0"/>
              <w:autoSpaceDE w:val="0"/>
              <w:autoSpaceDN w:val="0"/>
              <w:spacing w:after="0" w:line="240" w:lineRule="auto"/>
              <w:ind w:left="-3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</w:t>
            </w:r>
          </w:p>
          <w:p w:rsidR="00F706D8" w:rsidRPr="00E9741A" w:rsidRDefault="00F706D8" w:rsidP="000109C4">
            <w:pPr>
              <w:widowControl w:val="0"/>
              <w:autoSpaceDE w:val="0"/>
              <w:autoSpaceDN w:val="0"/>
              <w:spacing w:after="0" w:line="240" w:lineRule="auto"/>
              <w:ind w:left="-32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правительства</w:t>
            </w:r>
            <w:proofErr w:type="gramEnd"/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F706D8" w:rsidRPr="00E9741A" w:rsidRDefault="004020C8" w:rsidP="000109C4">
            <w:pPr>
              <w:widowControl w:val="0"/>
              <w:autoSpaceDE w:val="0"/>
              <w:autoSpaceDN w:val="0"/>
              <w:spacing w:after="0" w:line="240" w:lineRule="auto"/>
              <w:ind w:left="-3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020C8">
              <w:rPr>
                <w:color w:val="000000" w:themeColor="text1"/>
                <w:sz w:val="20"/>
                <w:szCs w:val="20"/>
                <w:lang w:eastAsia="ru-RU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25" w:type="dxa"/>
          </w:tcPr>
          <w:p w:rsidR="00F706D8" w:rsidRPr="00E9741A" w:rsidRDefault="00F706D8" w:rsidP="00010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9" w:type="dxa"/>
          </w:tcPr>
          <w:p w:rsidR="00F706D8" w:rsidRPr="00E9741A" w:rsidRDefault="00F706D8" w:rsidP="00010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</w:tcPr>
          <w:p w:rsidR="00F706D8" w:rsidRPr="00E9741A" w:rsidRDefault="00F706D8" w:rsidP="00B246CF">
            <w:pPr>
              <w:widowControl w:val="0"/>
              <w:autoSpaceDE w:val="0"/>
              <w:autoSpaceDN w:val="0"/>
              <w:spacing w:after="0" w:line="240" w:lineRule="auto"/>
              <w:ind w:left="-44" w:right="-78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</w:t>
            </w:r>
            <w:r w:rsidR="00B246CF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</w:tcPr>
          <w:p w:rsidR="00F706D8" w:rsidRPr="00E9741A" w:rsidRDefault="00E14101" w:rsidP="000109C4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14101">
              <w:rPr>
                <w:sz w:val="20"/>
                <w:szCs w:val="20"/>
              </w:rPr>
              <w:t>1876,2</w:t>
            </w:r>
          </w:p>
        </w:tc>
        <w:tc>
          <w:tcPr>
            <w:tcW w:w="567" w:type="dxa"/>
          </w:tcPr>
          <w:p w:rsidR="00F706D8" w:rsidRPr="00E9741A" w:rsidRDefault="00E14101" w:rsidP="000109C4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</w:tcPr>
          <w:p w:rsidR="00F706D8" w:rsidRPr="00E9741A" w:rsidRDefault="00E14101" w:rsidP="000109C4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14101">
              <w:rPr>
                <w:sz w:val="20"/>
                <w:szCs w:val="20"/>
              </w:rPr>
              <w:t>1876,2</w:t>
            </w:r>
          </w:p>
        </w:tc>
        <w:tc>
          <w:tcPr>
            <w:tcW w:w="722" w:type="dxa"/>
          </w:tcPr>
          <w:p w:rsidR="00F706D8" w:rsidRPr="00E9741A" w:rsidRDefault="00E14101" w:rsidP="000109C4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</w:tcPr>
          <w:p w:rsidR="00F706D8" w:rsidRPr="00E9741A" w:rsidRDefault="00E14101" w:rsidP="000109C4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020C8" w:rsidRPr="00E9741A" w:rsidTr="00E14101">
        <w:trPr>
          <w:trHeight w:val="21"/>
        </w:trPr>
        <w:tc>
          <w:tcPr>
            <w:tcW w:w="421" w:type="dxa"/>
          </w:tcPr>
          <w:p w:rsidR="004020C8" w:rsidRPr="00E9741A" w:rsidRDefault="004020C8" w:rsidP="004020C8">
            <w:pPr>
              <w:widowControl w:val="0"/>
              <w:autoSpaceDE w:val="0"/>
              <w:autoSpaceDN w:val="0"/>
              <w:spacing w:after="0" w:line="240" w:lineRule="auto"/>
              <w:ind w:right="-75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  <w:r w:rsidR="0083528C">
              <w:rPr>
                <w:color w:val="000000" w:themeColor="text1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17" w:type="dxa"/>
          </w:tcPr>
          <w:p w:rsidR="004020C8" w:rsidRPr="00E9741A" w:rsidRDefault="004020C8" w:rsidP="004020C8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Расходы на </w:t>
            </w:r>
            <w:r w:rsidRPr="00A164C0">
              <w:rPr>
                <w:color w:val="000000" w:themeColor="text1"/>
                <w:sz w:val="20"/>
                <w:szCs w:val="20"/>
                <w:lang w:eastAsia="ru-RU"/>
              </w:rPr>
              <w:t xml:space="preserve">обеспечение </w:t>
            </w:r>
            <w:r w:rsidRPr="00A164C0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деятельности </w:t>
            </w:r>
            <w:r w:rsidRPr="004020C8">
              <w:rPr>
                <w:color w:val="000000" w:themeColor="text1"/>
                <w:sz w:val="20"/>
                <w:szCs w:val="20"/>
                <w:lang w:eastAsia="ru-RU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985" w:type="dxa"/>
          </w:tcPr>
          <w:p w:rsidR="004020C8" w:rsidRPr="00E9741A" w:rsidRDefault="004020C8" w:rsidP="004020C8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Департамент строительства и 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жилищно-коммунального хозяйства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Еврейской автономной </w:t>
            </w:r>
          </w:p>
        </w:tc>
        <w:tc>
          <w:tcPr>
            <w:tcW w:w="425" w:type="dxa"/>
          </w:tcPr>
          <w:p w:rsidR="004020C8" w:rsidRPr="00E9741A" w:rsidRDefault="004020C8" w:rsidP="00402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709" w:type="dxa"/>
          </w:tcPr>
          <w:p w:rsidR="004020C8" w:rsidRPr="00E9741A" w:rsidRDefault="004020C8" w:rsidP="00402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</w:tcPr>
          <w:p w:rsidR="004020C8" w:rsidRPr="00E9741A" w:rsidRDefault="004020C8" w:rsidP="00B246CF">
            <w:pPr>
              <w:widowControl w:val="0"/>
              <w:autoSpaceDE w:val="0"/>
              <w:autoSpaceDN w:val="0"/>
              <w:spacing w:after="0" w:line="240" w:lineRule="auto"/>
              <w:ind w:left="-54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</w:t>
            </w:r>
            <w:r w:rsidR="00B246CF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</w:tcPr>
          <w:p w:rsidR="004020C8" w:rsidRPr="00E9741A" w:rsidRDefault="00E14101" w:rsidP="004020C8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14101">
              <w:rPr>
                <w:sz w:val="20"/>
                <w:szCs w:val="20"/>
              </w:rPr>
              <w:t>1876,2</w:t>
            </w:r>
          </w:p>
        </w:tc>
        <w:tc>
          <w:tcPr>
            <w:tcW w:w="567" w:type="dxa"/>
          </w:tcPr>
          <w:p w:rsidR="004020C8" w:rsidRPr="00E9741A" w:rsidRDefault="00E14101" w:rsidP="004020C8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</w:tcPr>
          <w:p w:rsidR="004020C8" w:rsidRPr="00E9741A" w:rsidRDefault="00E14101" w:rsidP="004020C8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14101">
              <w:rPr>
                <w:sz w:val="20"/>
                <w:szCs w:val="20"/>
              </w:rPr>
              <w:t>1876,2</w:t>
            </w:r>
          </w:p>
        </w:tc>
        <w:tc>
          <w:tcPr>
            <w:tcW w:w="722" w:type="dxa"/>
          </w:tcPr>
          <w:p w:rsidR="004020C8" w:rsidRPr="00E9741A" w:rsidRDefault="00E14101" w:rsidP="004020C8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</w:tcPr>
          <w:p w:rsidR="004020C8" w:rsidRPr="00E9741A" w:rsidRDefault="00E14101" w:rsidP="004020C8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83528C" w:rsidRPr="0083528C" w:rsidRDefault="00E14101" w:rsidP="008352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Pr="00870F1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строку «Государственная программа «Жилище» на 2021 – 2024 годы</w:t>
      </w:r>
      <w:r w:rsid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hyperlink r:id="rId12" w:history="1">
        <w:r w:rsidR="0083528C" w:rsidRPr="0083528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Таблице </w:t>
        </w:r>
      </w:hyperlink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«Информация о ресурсном обеспечении программы</w:t>
      </w:r>
      <w:r w:rsid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счет средств </w:t>
      </w:r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областн</w:t>
      </w:r>
      <w:r w:rsid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бюджета и прогнозная оценка о привлекаемых на реализацию ее целей средствах федерального </w:t>
      </w:r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бюджета, бюджетов муниципальных образований области, внебюджетных</w:t>
      </w:r>
      <w:r w:rsid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источников</w:t>
      </w:r>
      <w:r w:rsidR="0083528C" w:rsidRP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3528C" w:rsidRPr="00834A59">
        <w:rPr>
          <w:b w:val="0"/>
          <w:color w:val="000000" w:themeColor="text1"/>
          <w:szCs w:val="28"/>
        </w:rPr>
        <w:t xml:space="preserve"> </w:t>
      </w:r>
      <w:r w:rsidR="0083528C" w:rsidRPr="00835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раздела 10 «Ресурсное обеспечение реализации Государственной программы» изложить в следующей редакции:</w:t>
      </w: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5"/>
        <w:gridCol w:w="1701"/>
        <w:gridCol w:w="1134"/>
        <w:gridCol w:w="993"/>
        <w:gridCol w:w="992"/>
        <w:gridCol w:w="993"/>
        <w:gridCol w:w="993"/>
      </w:tblGrid>
      <w:tr w:rsidR="00BE17E7" w:rsidRPr="00E9741A" w:rsidTr="0083528C">
        <w:trPr>
          <w:trHeight w:val="276"/>
        </w:trPr>
        <w:tc>
          <w:tcPr>
            <w:tcW w:w="426" w:type="dxa"/>
            <w:vMerge w:val="restart"/>
          </w:tcPr>
          <w:p w:rsidR="00BE17E7" w:rsidRPr="00E9741A" w:rsidRDefault="00BE17E7" w:rsidP="0083528C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BE17E7" w:rsidRPr="00E9741A" w:rsidRDefault="00BE17E7" w:rsidP="0083528C">
            <w:pPr>
              <w:pStyle w:val="ConsPlusNormal"/>
              <w:spacing w:line="276" w:lineRule="auto"/>
              <w:outlineLvl w:val="3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Государственная программа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E9741A">
              <w:rPr>
                <w:color w:val="000000" w:themeColor="text1"/>
                <w:sz w:val="20"/>
                <w:szCs w:val="20"/>
              </w:rPr>
              <w:t>Жилище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 на 2021 – 2024 годы</w:t>
            </w:r>
          </w:p>
        </w:tc>
        <w:tc>
          <w:tcPr>
            <w:tcW w:w="1701" w:type="dxa"/>
          </w:tcPr>
          <w:p w:rsidR="00BE17E7" w:rsidRPr="00E9741A" w:rsidRDefault="00BE17E7" w:rsidP="0083528C">
            <w:pPr>
              <w:pStyle w:val="ConsPlusNormal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17E7" w:rsidRPr="00C771C6" w:rsidRDefault="00BE17E7" w:rsidP="0083528C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5013951,6</w:t>
            </w:r>
          </w:p>
        </w:tc>
        <w:tc>
          <w:tcPr>
            <w:tcW w:w="993" w:type="dxa"/>
          </w:tcPr>
          <w:p w:rsidR="00BE17E7" w:rsidRPr="00C771C6" w:rsidRDefault="00BE17E7" w:rsidP="0083528C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71C6">
              <w:rPr>
                <w:color w:val="000000" w:themeColor="text1"/>
                <w:sz w:val="20"/>
                <w:szCs w:val="20"/>
              </w:rPr>
              <w:t>2445713,2</w:t>
            </w:r>
          </w:p>
        </w:tc>
        <w:tc>
          <w:tcPr>
            <w:tcW w:w="992" w:type="dxa"/>
          </w:tcPr>
          <w:p w:rsidR="00BE17E7" w:rsidRPr="00E9741A" w:rsidRDefault="00BE17E7" w:rsidP="0083528C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1038915,5</w:t>
            </w:r>
          </w:p>
        </w:tc>
        <w:tc>
          <w:tcPr>
            <w:tcW w:w="993" w:type="dxa"/>
          </w:tcPr>
          <w:p w:rsidR="00BE17E7" w:rsidRPr="00E9741A" w:rsidRDefault="00BE17E7" w:rsidP="0083528C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766413,3</w:t>
            </w:r>
          </w:p>
        </w:tc>
        <w:tc>
          <w:tcPr>
            <w:tcW w:w="993" w:type="dxa"/>
          </w:tcPr>
          <w:p w:rsidR="00BE17E7" w:rsidRPr="00E9741A" w:rsidRDefault="00BE17E7" w:rsidP="0083528C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762909,6</w:t>
            </w:r>
          </w:p>
        </w:tc>
      </w:tr>
      <w:tr w:rsidR="00BE17E7" w:rsidRPr="00E9741A" w:rsidTr="00C70F3C">
        <w:tc>
          <w:tcPr>
            <w:tcW w:w="426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115300,7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32113,2</w:t>
            </w:r>
          </w:p>
        </w:tc>
        <w:tc>
          <w:tcPr>
            <w:tcW w:w="992" w:type="dxa"/>
          </w:tcPr>
          <w:p w:rsidR="00BE17E7" w:rsidRPr="00E9741A" w:rsidRDefault="003921C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35669,3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23934,3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23583,9</w:t>
            </w:r>
          </w:p>
        </w:tc>
      </w:tr>
      <w:tr w:rsidR="00BE17E7" w:rsidRPr="00E9741A" w:rsidTr="00C70F3C">
        <w:tc>
          <w:tcPr>
            <w:tcW w:w="426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2360650,9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1795600,0</w:t>
            </w:r>
          </w:p>
        </w:tc>
        <w:tc>
          <w:tcPr>
            <w:tcW w:w="992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383246,2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92479,0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</w:tr>
      <w:tr w:rsidR="00BE17E7" w:rsidRPr="00E9741A" w:rsidTr="00C70F3C">
        <w:tc>
          <w:tcPr>
            <w:tcW w:w="426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E17E7" w:rsidRPr="00E9741A" w:rsidTr="0083528C">
        <w:tc>
          <w:tcPr>
            <w:tcW w:w="426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992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993" w:type="dxa"/>
          </w:tcPr>
          <w:p w:rsidR="00BE17E7" w:rsidRPr="00E9741A" w:rsidRDefault="00BE17E7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</w:tr>
    </w:tbl>
    <w:p w:rsidR="00163A8E" w:rsidRPr="00163A8E" w:rsidRDefault="00163A8E" w:rsidP="00163A8E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163A8E">
        <w:rPr>
          <w:szCs w:val="28"/>
        </w:rPr>
        <w:t xml:space="preserve"> </w:t>
      </w:r>
      <w:hyperlink r:id="rId13" w:history="1">
        <w:r w:rsidRPr="00163A8E">
          <w:rPr>
            <w:szCs w:val="28"/>
          </w:rPr>
          <w:t xml:space="preserve">таблице </w:t>
        </w:r>
      </w:hyperlink>
      <w:r w:rsidRPr="00163A8E">
        <w:rPr>
          <w:szCs w:val="28"/>
        </w:rPr>
        <w:t>5</w:t>
      </w:r>
      <w:r w:rsidRPr="00163A8E">
        <w:rPr>
          <w:szCs w:val="28"/>
        </w:rPr>
        <w:t xml:space="preserve"> «</w:t>
      </w:r>
      <w:r w:rsidRPr="00163A8E">
        <w:rPr>
          <w:color w:val="000000" w:themeColor="text1"/>
          <w:szCs w:val="28"/>
        </w:rPr>
        <w:t>Информация о ресурсном обеспечении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 раздела 10 «Ресурсное обеспечение реализации Государственной программы»</w:t>
      </w:r>
      <w:r w:rsidRPr="00163A8E">
        <w:rPr>
          <w:szCs w:val="28"/>
        </w:rPr>
        <w:t>» дополнить разделом 5 следующего содержания:</w:t>
      </w: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5"/>
        <w:gridCol w:w="1701"/>
        <w:gridCol w:w="1134"/>
        <w:gridCol w:w="983"/>
        <w:gridCol w:w="1002"/>
        <w:gridCol w:w="993"/>
        <w:gridCol w:w="993"/>
      </w:tblGrid>
      <w:tr w:rsidR="0083528C" w:rsidRPr="00E9741A" w:rsidTr="000109C4">
        <w:tc>
          <w:tcPr>
            <w:tcW w:w="426" w:type="dxa"/>
            <w:vMerge w:val="restart"/>
          </w:tcPr>
          <w:p w:rsidR="0083528C" w:rsidRPr="00E9741A" w:rsidRDefault="00163A8E" w:rsidP="000109C4">
            <w:pPr>
              <w:pStyle w:val="ConsPlusNormal"/>
              <w:jc w:val="center"/>
              <w:outlineLvl w:val="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5" w:type="dxa"/>
            <w:vMerge w:val="restart"/>
          </w:tcPr>
          <w:p w:rsidR="0083528C" w:rsidRPr="00E9741A" w:rsidRDefault="0083528C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Основное мероприятие: </w:t>
            </w:r>
          </w:p>
          <w:p w:rsidR="0083528C" w:rsidRPr="00E9741A" w:rsidRDefault="0083528C" w:rsidP="00163A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Обеспечение деятельности ОГБУ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="00163A8E">
              <w:rPr>
                <w:color w:val="000000" w:themeColor="text1"/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3528C" w:rsidRPr="00E9741A" w:rsidRDefault="0083528C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83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93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3528C" w:rsidRPr="00E9741A" w:rsidTr="00163A8E">
        <w:tc>
          <w:tcPr>
            <w:tcW w:w="426" w:type="dxa"/>
            <w:vMerge/>
          </w:tcPr>
          <w:p w:rsidR="0083528C" w:rsidRPr="00E9741A" w:rsidRDefault="0083528C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3528C" w:rsidRPr="00E9741A" w:rsidRDefault="0083528C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528C" w:rsidRPr="00E9741A" w:rsidRDefault="0083528C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83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93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163A8E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3528C" w:rsidRPr="00E9741A" w:rsidTr="003E3ECC">
        <w:tc>
          <w:tcPr>
            <w:tcW w:w="426" w:type="dxa"/>
            <w:vMerge/>
          </w:tcPr>
          <w:p w:rsidR="0083528C" w:rsidRPr="00E9741A" w:rsidRDefault="0083528C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3528C" w:rsidRPr="00E9741A" w:rsidRDefault="0083528C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528C" w:rsidRPr="00E9741A" w:rsidRDefault="0083528C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3528C" w:rsidRPr="00E9741A" w:rsidTr="003E3ECC">
        <w:tc>
          <w:tcPr>
            <w:tcW w:w="426" w:type="dxa"/>
            <w:vMerge/>
          </w:tcPr>
          <w:p w:rsidR="0083528C" w:rsidRPr="00E9741A" w:rsidRDefault="0083528C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3528C" w:rsidRPr="00E9741A" w:rsidRDefault="0083528C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528C" w:rsidRPr="00E9741A" w:rsidRDefault="0083528C" w:rsidP="000109C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83528C" w:rsidP="000109C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3528C" w:rsidRPr="00E9741A" w:rsidTr="00163A8E">
        <w:tc>
          <w:tcPr>
            <w:tcW w:w="426" w:type="dxa"/>
            <w:vMerge/>
          </w:tcPr>
          <w:p w:rsidR="0083528C" w:rsidRPr="00E9741A" w:rsidRDefault="0083528C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3528C" w:rsidRPr="00E9741A" w:rsidRDefault="0083528C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528C" w:rsidRPr="00E9741A" w:rsidRDefault="0083528C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3528C" w:rsidRPr="00E9741A" w:rsidRDefault="0083528C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3528C" w:rsidRPr="00E9741A" w:rsidRDefault="0083528C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83528C" w:rsidRPr="00E9741A" w:rsidRDefault="0083528C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83528C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3528C" w:rsidRPr="00E9741A" w:rsidRDefault="0083528C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E17E7" w:rsidRPr="00E9741A" w:rsidTr="00163A8E">
        <w:tc>
          <w:tcPr>
            <w:tcW w:w="426" w:type="dxa"/>
            <w:vMerge w:val="restart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125" w:type="dxa"/>
            <w:vMerge w:val="restart"/>
          </w:tcPr>
          <w:p w:rsidR="00BE17E7" w:rsidRPr="00E9741A" w:rsidRDefault="00BE17E7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Расходы на обеспечение деятельности ОГБУ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r w:rsidR="00163A8E">
              <w:rPr>
                <w:color w:val="000000" w:themeColor="text1"/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E17E7" w:rsidRPr="00E9741A" w:rsidRDefault="00BE17E7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83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93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E17E7" w:rsidRPr="00E9741A" w:rsidTr="00163A8E">
        <w:tc>
          <w:tcPr>
            <w:tcW w:w="426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83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1876,2</w:t>
            </w:r>
          </w:p>
        </w:tc>
        <w:tc>
          <w:tcPr>
            <w:tcW w:w="993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163A8E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E17E7" w:rsidRPr="00E9741A" w:rsidTr="00163A8E">
        <w:tc>
          <w:tcPr>
            <w:tcW w:w="426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E17E7" w:rsidRPr="00E9741A" w:rsidTr="00163A8E">
        <w:tc>
          <w:tcPr>
            <w:tcW w:w="426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E17E7" w:rsidRPr="00E9741A" w:rsidTr="00163A8E">
        <w:tc>
          <w:tcPr>
            <w:tcW w:w="426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E17E7" w:rsidRPr="00E9741A" w:rsidRDefault="00BE17E7" w:rsidP="00BE17E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7E7" w:rsidRPr="00E9741A" w:rsidRDefault="00BE17E7" w:rsidP="00BE17E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E17E7" w:rsidRPr="00E9741A" w:rsidRDefault="00BE17E7" w:rsidP="00BE17E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5A3476" w:rsidRPr="005A3476" w:rsidRDefault="005A3476" w:rsidP="005A347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70F1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70F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строку «Источники и направления расходов</w:t>
      </w:r>
      <w:r w:rsidRP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P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hyperlink r:id="rId14" w:history="1">
        <w:r w:rsidRPr="005A347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Таблице 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7751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Структура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финансирования программы</w:t>
      </w:r>
      <w:r w:rsidRPr="005A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раздела 10 «Ресурсное обеспечение реализации Государственной программы» изложить в следующей редакции:</w:t>
      </w:r>
    </w:p>
    <w:tbl>
      <w:tblPr>
        <w:tblW w:w="953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1280"/>
        <w:gridCol w:w="1280"/>
        <w:gridCol w:w="1280"/>
        <w:gridCol w:w="1280"/>
        <w:gridCol w:w="1280"/>
      </w:tblGrid>
      <w:tr w:rsidR="00E27AA2" w:rsidRPr="00B43C61" w:rsidTr="00B43C61">
        <w:trPr>
          <w:trHeight w:val="517"/>
        </w:trPr>
        <w:tc>
          <w:tcPr>
            <w:tcW w:w="3132" w:type="dxa"/>
            <w:vMerge w:val="restart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6400" w:type="dxa"/>
            <w:gridSpan w:val="5"/>
            <w:shd w:val="clear" w:color="auto" w:fill="auto"/>
            <w:vAlign w:val="center"/>
            <w:hideMark/>
          </w:tcPr>
          <w:p w:rsidR="00E27AA2" w:rsidRPr="00B43C61" w:rsidRDefault="002456B0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15" w:anchor="RANGE!P1459" w:history="1">
              <w:r w:rsidR="00E27AA2" w:rsidRPr="00B43C61">
                <w:rPr>
                  <w:color w:val="000000" w:themeColor="text1"/>
                  <w:sz w:val="20"/>
                  <w:szCs w:val="20"/>
                  <w:lang w:eastAsia="ru-RU"/>
                </w:rPr>
                <w:t>Расходы (тыс. рублей) &lt;*&gt;, годы</w:t>
              </w:r>
            </w:hyperlink>
          </w:p>
        </w:tc>
      </w:tr>
      <w:tr w:rsidR="00E27AA2" w:rsidRPr="00B43C61" w:rsidTr="00084E81">
        <w:trPr>
          <w:trHeight w:val="315"/>
        </w:trPr>
        <w:tc>
          <w:tcPr>
            <w:tcW w:w="3132" w:type="dxa"/>
            <w:vMerge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0" w:type="dxa"/>
            <w:gridSpan w:val="4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 xml:space="preserve"> том числе по годам</w:t>
            </w:r>
          </w:p>
        </w:tc>
      </w:tr>
      <w:tr w:rsidR="00E27AA2" w:rsidRPr="00B43C61" w:rsidTr="00084E81">
        <w:trPr>
          <w:trHeight w:val="315"/>
        </w:trPr>
        <w:tc>
          <w:tcPr>
            <w:tcW w:w="3132" w:type="dxa"/>
            <w:vMerge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E27AA2" w:rsidRPr="00B43C61" w:rsidTr="00084E81">
        <w:trPr>
          <w:trHeight w:val="315"/>
        </w:trPr>
        <w:tc>
          <w:tcPr>
            <w:tcW w:w="9532" w:type="dxa"/>
            <w:gridSpan w:val="6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E27AA2" w:rsidRPr="00B43C61" w:rsidTr="00894BC3">
        <w:trPr>
          <w:trHeight w:val="38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5A3476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5013951,6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2445713,2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5A3476" w:rsidP="00FB5B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1038915,5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766413,3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762909,6</w:t>
            </w:r>
          </w:p>
        </w:tc>
      </w:tr>
      <w:tr w:rsidR="00E27AA2" w:rsidRPr="00B43C61" w:rsidTr="00894BC3">
        <w:trPr>
          <w:trHeight w:val="4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5A3476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115300,7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32113,2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5A3476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35669,3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23934,3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23583,9</w:t>
            </w:r>
          </w:p>
        </w:tc>
      </w:tr>
      <w:tr w:rsidR="00E27AA2" w:rsidRPr="00B43C61" w:rsidTr="00CE1D53">
        <w:trPr>
          <w:trHeight w:val="550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F4D89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2360650,9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1795600,0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F4D89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383246,2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92479,0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89325,7</w:t>
            </w:r>
          </w:p>
        </w:tc>
      </w:tr>
      <w:tr w:rsidR="00E27AA2" w:rsidRPr="00B43C61" w:rsidTr="00084E81">
        <w:trPr>
          <w:trHeight w:val="6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496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2538000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618000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620000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</w:tbl>
    <w:p w:rsidR="005A3476" w:rsidRDefault="005A3476" w:rsidP="005A3476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Pr="005A3476">
        <w:rPr>
          <w:color w:val="000000" w:themeColor="text1"/>
          <w:szCs w:val="28"/>
        </w:rPr>
        <w:t>- строку «</w:t>
      </w:r>
      <w:r w:rsidRPr="005A3476">
        <w:rPr>
          <w:color w:val="000000" w:themeColor="text1"/>
          <w:szCs w:val="28"/>
          <w:lang w:eastAsia="ru-RU"/>
        </w:rPr>
        <w:t>Прочие расходы</w:t>
      </w:r>
      <w:r w:rsidRPr="005A3476">
        <w:rPr>
          <w:color w:val="000000" w:themeColor="text1"/>
          <w:szCs w:val="28"/>
        </w:rPr>
        <w:t xml:space="preserve">» в </w:t>
      </w:r>
      <w:hyperlink r:id="rId16" w:history="1">
        <w:r w:rsidRPr="005A3476">
          <w:rPr>
            <w:color w:val="000000" w:themeColor="text1"/>
            <w:szCs w:val="28"/>
          </w:rPr>
          <w:t xml:space="preserve">Таблице </w:t>
        </w:r>
      </w:hyperlink>
      <w:r w:rsidRPr="005A3476">
        <w:rPr>
          <w:color w:val="000000" w:themeColor="text1"/>
          <w:szCs w:val="28"/>
        </w:rPr>
        <w:t>6 «Структура финансирования программы» раздела 10 «Р</w:t>
      </w:r>
      <w:r>
        <w:rPr>
          <w:color w:val="000000" w:themeColor="text1"/>
          <w:szCs w:val="28"/>
        </w:rPr>
        <w:t xml:space="preserve">есурсное обеспечение реализации </w:t>
      </w:r>
      <w:r w:rsidRPr="005A3476">
        <w:rPr>
          <w:color w:val="000000" w:themeColor="text1"/>
          <w:szCs w:val="28"/>
        </w:rPr>
        <w:t>Государственной программы» изложить в следующей редакции:</w:t>
      </w:r>
    </w:p>
    <w:tbl>
      <w:tblPr>
        <w:tblW w:w="953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1280"/>
        <w:gridCol w:w="1280"/>
        <w:gridCol w:w="1280"/>
        <w:gridCol w:w="1280"/>
        <w:gridCol w:w="1280"/>
      </w:tblGrid>
      <w:tr w:rsidR="00E27AA2" w:rsidRPr="00B43C61" w:rsidTr="00084E81">
        <w:trPr>
          <w:trHeight w:val="315"/>
        </w:trPr>
        <w:tc>
          <w:tcPr>
            <w:tcW w:w="9532" w:type="dxa"/>
            <w:gridSpan w:val="6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E27AA2" w:rsidRPr="00B43C61" w:rsidTr="00CE1D53">
        <w:trPr>
          <w:trHeight w:val="523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273CD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4547977,8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457301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2277136,6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273CD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940019,9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457301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667162,5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663658,8</w:t>
            </w:r>
          </w:p>
        </w:tc>
      </w:tr>
      <w:tr w:rsidR="00E27AA2" w:rsidRPr="00B43C61" w:rsidTr="00CE1D53">
        <w:trPr>
          <w:trHeight w:val="403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273CD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9287,9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22120,5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273CD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26099,4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14009,2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13658,8</w:t>
            </w:r>
          </w:p>
        </w:tc>
      </w:tr>
      <w:tr w:rsidR="00E27AA2" w:rsidRPr="00B43C61" w:rsidTr="00CE1D53">
        <w:trPr>
          <w:trHeight w:val="55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F4D89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1934089,9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1637016,1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F4D89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293920,5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3153,3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084E81">
        <w:trPr>
          <w:trHeight w:val="6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51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2538000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618000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620000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010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</w:tbl>
    <w:p w:rsidR="009273CD" w:rsidRDefault="009273CD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Cs w:val="28"/>
        </w:rPr>
      </w:pPr>
      <w:bookmarkStart w:id="1" w:name="P1488"/>
      <w:bookmarkStart w:id="2" w:name="P2083"/>
      <w:bookmarkEnd w:id="1"/>
      <w:bookmarkEnd w:id="2"/>
    </w:p>
    <w:p w:rsidR="00A26048" w:rsidRPr="00A27C20" w:rsidRDefault="00A26048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>2. Настоящее постановление вступает в силу со дня его подписания.</w:t>
      </w:r>
    </w:p>
    <w:p w:rsidR="00760B51" w:rsidRPr="00A27C20" w:rsidRDefault="00760B51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E422A6" w:rsidRPr="00A27C20" w:rsidRDefault="00E422A6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E422A6" w:rsidRPr="00A27C20" w:rsidRDefault="00E422A6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145F93" w:rsidRDefault="009273CD" w:rsidP="00ED2EB5">
      <w:pPr>
        <w:spacing w:after="0" w:line="240" w:lineRule="auto"/>
      </w:pPr>
      <w:r>
        <w:t xml:space="preserve">Губернатор области </w:t>
      </w:r>
      <w:r w:rsidR="00145F93">
        <w:t xml:space="preserve">                                     </w:t>
      </w:r>
      <w:r>
        <w:t xml:space="preserve">                               </w:t>
      </w:r>
      <w:r w:rsidR="00145F93">
        <w:t xml:space="preserve"> </w:t>
      </w:r>
      <w:r>
        <w:t>Р.Э. Гольдштейн</w:t>
      </w:r>
      <w:r w:rsidR="00145F93">
        <w:rPr>
          <w:color w:val="000000" w:themeColor="text1"/>
        </w:rPr>
        <w:t xml:space="preserve"> </w:t>
      </w:r>
    </w:p>
    <w:p w:rsidR="0060524F" w:rsidRPr="00A27C20" w:rsidRDefault="0060524F" w:rsidP="00ED2EB5">
      <w:pPr>
        <w:spacing w:after="0" w:line="240" w:lineRule="auto"/>
        <w:rPr>
          <w:color w:val="000000" w:themeColor="text1"/>
        </w:rPr>
      </w:pPr>
    </w:p>
    <w:sectPr w:rsidR="0060524F" w:rsidRPr="00A27C20" w:rsidSect="00143C96">
      <w:headerReference w:type="default" r:id="rId17"/>
      <w:headerReference w:type="first" r:id="rId1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B6" w:rsidRDefault="008D19B6" w:rsidP="006F3050">
      <w:pPr>
        <w:spacing w:after="0" w:line="240" w:lineRule="auto"/>
      </w:pPr>
      <w:r>
        <w:separator/>
      </w:r>
    </w:p>
  </w:endnote>
  <w:endnote w:type="continuationSeparator" w:id="0">
    <w:p w:rsidR="008D19B6" w:rsidRDefault="008D19B6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B6" w:rsidRDefault="008D19B6" w:rsidP="006F3050">
      <w:pPr>
        <w:spacing w:after="0" w:line="240" w:lineRule="auto"/>
      </w:pPr>
      <w:r>
        <w:separator/>
      </w:r>
    </w:p>
  </w:footnote>
  <w:footnote w:type="continuationSeparator" w:id="0">
    <w:p w:rsidR="008D19B6" w:rsidRDefault="008D19B6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373150"/>
      <w:docPartObj>
        <w:docPartGallery w:val="Page Numbers (Top of Page)"/>
        <w:docPartUnique/>
      </w:docPartObj>
    </w:sdtPr>
    <w:sdtContent>
      <w:p w:rsidR="00143C96" w:rsidRDefault="00143C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C96">
          <w:rPr>
            <w:noProof/>
            <w:lang w:val="ru-RU"/>
          </w:rPr>
          <w:t>4</w:t>
        </w:r>
        <w:r>
          <w:fldChar w:fldCharType="end"/>
        </w:r>
      </w:p>
    </w:sdtContent>
  </w:sdt>
  <w:p w:rsidR="00143C96" w:rsidRDefault="00143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B0" w:rsidRDefault="002456B0">
    <w:pPr>
      <w:pStyle w:val="a3"/>
      <w:jc w:val="center"/>
    </w:pPr>
  </w:p>
  <w:p w:rsidR="002456B0" w:rsidRDefault="002456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A9E3635"/>
    <w:multiLevelType w:val="hybridMultilevel"/>
    <w:tmpl w:val="21F28644"/>
    <w:lvl w:ilvl="0" w:tplc="4BB493B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1A"/>
    <w:rsid w:val="0000021F"/>
    <w:rsid w:val="0000080F"/>
    <w:rsid w:val="00002D98"/>
    <w:rsid w:val="00003131"/>
    <w:rsid w:val="00003745"/>
    <w:rsid w:val="00003FA5"/>
    <w:rsid w:val="000070A8"/>
    <w:rsid w:val="000077B5"/>
    <w:rsid w:val="00007FC4"/>
    <w:rsid w:val="000109C4"/>
    <w:rsid w:val="000117FC"/>
    <w:rsid w:val="00020FA3"/>
    <w:rsid w:val="0002233A"/>
    <w:rsid w:val="00022FBE"/>
    <w:rsid w:val="000230DE"/>
    <w:rsid w:val="00023420"/>
    <w:rsid w:val="00027633"/>
    <w:rsid w:val="00030E20"/>
    <w:rsid w:val="00031D17"/>
    <w:rsid w:val="00032580"/>
    <w:rsid w:val="0003422E"/>
    <w:rsid w:val="0003731B"/>
    <w:rsid w:val="00040AFB"/>
    <w:rsid w:val="000416CB"/>
    <w:rsid w:val="000423AC"/>
    <w:rsid w:val="0004352C"/>
    <w:rsid w:val="00044324"/>
    <w:rsid w:val="00045579"/>
    <w:rsid w:val="00045B96"/>
    <w:rsid w:val="00046404"/>
    <w:rsid w:val="00047AA3"/>
    <w:rsid w:val="000521A6"/>
    <w:rsid w:val="0005456D"/>
    <w:rsid w:val="00056A62"/>
    <w:rsid w:val="00056A80"/>
    <w:rsid w:val="000606C4"/>
    <w:rsid w:val="00061C3F"/>
    <w:rsid w:val="00062083"/>
    <w:rsid w:val="00062E02"/>
    <w:rsid w:val="00066022"/>
    <w:rsid w:val="000661AD"/>
    <w:rsid w:val="00074304"/>
    <w:rsid w:val="00074341"/>
    <w:rsid w:val="00075254"/>
    <w:rsid w:val="00076DDE"/>
    <w:rsid w:val="000812D9"/>
    <w:rsid w:val="000818FD"/>
    <w:rsid w:val="0008220A"/>
    <w:rsid w:val="00084E81"/>
    <w:rsid w:val="000900D5"/>
    <w:rsid w:val="00092074"/>
    <w:rsid w:val="0009242A"/>
    <w:rsid w:val="000960B8"/>
    <w:rsid w:val="00097271"/>
    <w:rsid w:val="000A0CE2"/>
    <w:rsid w:val="000A169A"/>
    <w:rsid w:val="000A17F6"/>
    <w:rsid w:val="000A23D8"/>
    <w:rsid w:val="000A25C5"/>
    <w:rsid w:val="000A3293"/>
    <w:rsid w:val="000A34AC"/>
    <w:rsid w:val="000A4239"/>
    <w:rsid w:val="000A6BE7"/>
    <w:rsid w:val="000B0D98"/>
    <w:rsid w:val="000B1B51"/>
    <w:rsid w:val="000B1F54"/>
    <w:rsid w:val="000B2ADE"/>
    <w:rsid w:val="000B2FAD"/>
    <w:rsid w:val="000B66D9"/>
    <w:rsid w:val="000B6F88"/>
    <w:rsid w:val="000C0767"/>
    <w:rsid w:val="000C5077"/>
    <w:rsid w:val="000C5AC6"/>
    <w:rsid w:val="000C798D"/>
    <w:rsid w:val="000D1783"/>
    <w:rsid w:val="000D343C"/>
    <w:rsid w:val="000D3F8E"/>
    <w:rsid w:val="000D47F2"/>
    <w:rsid w:val="000D57B4"/>
    <w:rsid w:val="000D7E0E"/>
    <w:rsid w:val="000E12FB"/>
    <w:rsid w:val="000E2ACE"/>
    <w:rsid w:val="000E2BAC"/>
    <w:rsid w:val="000E7122"/>
    <w:rsid w:val="000F185F"/>
    <w:rsid w:val="000F7865"/>
    <w:rsid w:val="001007F0"/>
    <w:rsid w:val="0010196E"/>
    <w:rsid w:val="00103CBB"/>
    <w:rsid w:val="00103F97"/>
    <w:rsid w:val="00106560"/>
    <w:rsid w:val="00110435"/>
    <w:rsid w:val="00111248"/>
    <w:rsid w:val="001135B9"/>
    <w:rsid w:val="00116B53"/>
    <w:rsid w:val="00131394"/>
    <w:rsid w:val="001340B3"/>
    <w:rsid w:val="001340CA"/>
    <w:rsid w:val="00135C00"/>
    <w:rsid w:val="00135FC8"/>
    <w:rsid w:val="001370AE"/>
    <w:rsid w:val="00142377"/>
    <w:rsid w:val="00143C96"/>
    <w:rsid w:val="00144385"/>
    <w:rsid w:val="00144A46"/>
    <w:rsid w:val="00145F93"/>
    <w:rsid w:val="00147A80"/>
    <w:rsid w:val="00156867"/>
    <w:rsid w:val="001569CD"/>
    <w:rsid w:val="00161D42"/>
    <w:rsid w:val="00161DE0"/>
    <w:rsid w:val="00162E94"/>
    <w:rsid w:val="00163A8E"/>
    <w:rsid w:val="00163B41"/>
    <w:rsid w:val="00164200"/>
    <w:rsid w:val="0016658E"/>
    <w:rsid w:val="00171541"/>
    <w:rsid w:val="00171849"/>
    <w:rsid w:val="00176D57"/>
    <w:rsid w:val="00177AB3"/>
    <w:rsid w:val="00181569"/>
    <w:rsid w:val="00184949"/>
    <w:rsid w:val="00185A1D"/>
    <w:rsid w:val="00187EBB"/>
    <w:rsid w:val="0019005D"/>
    <w:rsid w:val="001952F6"/>
    <w:rsid w:val="00195359"/>
    <w:rsid w:val="001954AF"/>
    <w:rsid w:val="00197AB1"/>
    <w:rsid w:val="001A06C0"/>
    <w:rsid w:val="001A1E1D"/>
    <w:rsid w:val="001A31E2"/>
    <w:rsid w:val="001A721A"/>
    <w:rsid w:val="001A7ECF"/>
    <w:rsid w:val="001B1B82"/>
    <w:rsid w:val="001B339C"/>
    <w:rsid w:val="001B37FD"/>
    <w:rsid w:val="001B39D5"/>
    <w:rsid w:val="001B5BA7"/>
    <w:rsid w:val="001B7971"/>
    <w:rsid w:val="001C1048"/>
    <w:rsid w:val="001C13E2"/>
    <w:rsid w:val="001D4271"/>
    <w:rsid w:val="001D5C7B"/>
    <w:rsid w:val="001E1E74"/>
    <w:rsid w:val="001E222B"/>
    <w:rsid w:val="001E536D"/>
    <w:rsid w:val="001E6F0B"/>
    <w:rsid w:val="001F34A0"/>
    <w:rsid w:val="001F6704"/>
    <w:rsid w:val="001F676A"/>
    <w:rsid w:val="00201802"/>
    <w:rsid w:val="00203D49"/>
    <w:rsid w:val="00213CF5"/>
    <w:rsid w:val="002145DB"/>
    <w:rsid w:val="002171AF"/>
    <w:rsid w:val="002171BD"/>
    <w:rsid w:val="00221CE8"/>
    <w:rsid w:val="0022612B"/>
    <w:rsid w:val="00226D85"/>
    <w:rsid w:val="002271B9"/>
    <w:rsid w:val="00227DF9"/>
    <w:rsid w:val="0023141D"/>
    <w:rsid w:val="00232B61"/>
    <w:rsid w:val="00233860"/>
    <w:rsid w:val="002354B6"/>
    <w:rsid w:val="00235A39"/>
    <w:rsid w:val="002406D4"/>
    <w:rsid w:val="002456B0"/>
    <w:rsid w:val="0024762D"/>
    <w:rsid w:val="002501BA"/>
    <w:rsid w:val="0025340B"/>
    <w:rsid w:val="00255DD9"/>
    <w:rsid w:val="002560F1"/>
    <w:rsid w:val="00256BFA"/>
    <w:rsid w:val="00257D7E"/>
    <w:rsid w:val="002626D8"/>
    <w:rsid w:val="00264629"/>
    <w:rsid w:val="0026463B"/>
    <w:rsid w:val="00267861"/>
    <w:rsid w:val="00267923"/>
    <w:rsid w:val="00270500"/>
    <w:rsid w:val="0027227B"/>
    <w:rsid w:val="002741E6"/>
    <w:rsid w:val="002809E8"/>
    <w:rsid w:val="00280EE6"/>
    <w:rsid w:val="00285C50"/>
    <w:rsid w:val="0029071D"/>
    <w:rsid w:val="00290CA6"/>
    <w:rsid w:val="00293CD6"/>
    <w:rsid w:val="002A0C9F"/>
    <w:rsid w:val="002A1CE4"/>
    <w:rsid w:val="002A25C3"/>
    <w:rsid w:val="002A4C55"/>
    <w:rsid w:val="002A767E"/>
    <w:rsid w:val="002A7B5B"/>
    <w:rsid w:val="002B66BC"/>
    <w:rsid w:val="002C417A"/>
    <w:rsid w:val="002C4AAE"/>
    <w:rsid w:val="002C50EA"/>
    <w:rsid w:val="002C70E1"/>
    <w:rsid w:val="002D0135"/>
    <w:rsid w:val="002D020D"/>
    <w:rsid w:val="002D0FD2"/>
    <w:rsid w:val="002D4798"/>
    <w:rsid w:val="002D6DE9"/>
    <w:rsid w:val="002E23EC"/>
    <w:rsid w:val="002E4E5E"/>
    <w:rsid w:val="002E6FAC"/>
    <w:rsid w:val="002F0A35"/>
    <w:rsid w:val="002F2697"/>
    <w:rsid w:val="002F48C4"/>
    <w:rsid w:val="002F59EF"/>
    <w:rsid w:val="002F62BB"/>
    <w:rsid w:val="002F773F"/>
    <w:rsid w:val="00300BF3"/>
    <w:rsid w:val="00307A05"/>
    <w:rsid w:val="0031145F"/>
    <w:rsid w:val="003120B2"/>
    <w:rsid w:val="0031451A"/>
    <w:rsid w:val="003153AF"/>
    <w:rsid w:val="00315F33"/>
    <w:rsid w:val="003161A7"/>
    <w:rsid w:val="00320B5F"/>
    <w:rsid w:val="00322AD9"/>
    <w:rsid w:val="00323CFB"/>
    <w:rsid w:val="00324621"/>
    <w:rsid w:val="00324F5A"/>
    <w:rsid w:val="00332643"/>
    <w:rsid w:val="00333ACA"/>
    <w:rsid w:val="003356A8"/>
    <w:rsid w:val="00342377"/>
    <w:rsid w:val="00345188"/>
    <w:rsid w:val="00345A3F"/>
    <w:rsid w:val="00345C05"/>
    <w:rsid w:val="003512BA"/>
    <w:rsid w:val="00352A1A"/>
    <w:rsid w:val="00353131"/>
    <w:rsid w:val="00367DF0"/>
    <w:rsid w:val="00370023"/>
    <w:rsid w:val="00371249"/>
    <w:rsid w:val="00371DD3"/>
    <w:rsid w:val="003729F5"/>
    <w:rsid w:val="00375A79"/>
    <w:rsid w:val="00375C98"/>
    <w:rsid w:val="00384CEB"/>
    <w:rsid w:val="00384F70"/>
    <w:rsid w:val="0038580A"/>
    <w:rsid w:val="00386A78"/>
    <w:rsid w:val="0039061D"/>
    <w:rsid w:val="00390E38"/>
    <w:rsid w:val="003921C7"/>
    <w:rsid w:val="003931AC"/>
    <w:rsid w:val="00394C89"/>
    <w:rsid w:val="00397B2C"/>
    <w:rsid w:val="003A3431"/>
    <w:rsid w:val="003A4731"/>
    <w:rsid w:val="003A5D09"/>
    <w:rsid w:val="003B4103"/>
    <w:rsid w:val="003B7086"/>
    <w:rsid w:val="003B7D45"/>
    <w:rsid w:val="003C09BC"/>
    <w:rsid w:val="003C3287"/>
    <w:rsid w:val="003C331F"/>
    <w:rsid w:val="003C5424"/>
    <w:rsid w:val="003C5997"/>
    <w:rsid w:val="003D1CB0"/>
    <w:rsid w:val="003D571F"/>
    <w:rsid w:val="003D5EAB"/>
    <w:rsid w:val="003D77A7"/>
    <w:rsid w:val="003E3ECC"/>
    <w:rsid w:val="003E4A2C"/>
    <w:rsid w:val="003E62F1"/>
    <w:rsid w:val="003E659B"/>
    <w:rsid w:val="003F22E4"/>
    <w:rsid w:val="003F4273"/>
    <w:rsid w:val="003F57B5"/>
    <w:rsid w:val="003F67AD"/>
    <w:rsid w:val="00400D7B"/>
    <w:rsid w:val="004020C8"/>
    <w:rsid w:val="00402956"/>
    <w:rsid w:val="004041E9"/>
    <w:rsid w:val="004101BF"/>
    <w:rsid w:val="0041478D"/>
    <w:rsid w:val="0041497D"/>
    <w:rsid w:val="00416F8C"/>
    <w:rsid w:val="00423590"/>
    <w:rsid w:val="0043035E"/>
    <w:rsid w:val="00432945"/>
    <w:rsid w:val="00433744"/>
    <w:rsid w:val="00435A50"/>
    <w:rsid w:val="00437822"/>
    <w:rsid w:val="00441124"/>
    <w:rsid w:val="00442D6B"/>
    <w:rsid w:val="0044614A"/>
    <w:rsid w:val="00446AAF"/>
    <w:rsid w:val="00451725"/>
    <w:rsid w:val="004544BC"/>
    <w:rsid w:val="00457301"/>
    <w:rsid w:val="00462EDB"/>
    <w:rsid w:val="004677B5"/>
    <w:rsid w:val="00470438"/>
    <w:rsid w:val="00471124"/>
    <w:rsid w:val="00473745"/>
    <w:rsid w:val="00473DF3"/>
    <w:rsid w:val="00475ED4"/>
    <w:rsid w:val="00476F33"/>
    <w:rsid w:val="00481B6F"/>
    <w:rsid w:val="00483B08"/>
    <w:rsid w:val="00484A1C"/>
    <w:rsid w:val="00486FBF"/>
    <w:rsid w:val="00487231"/>
    <w:rsid w:val="004907EA"/>
    <w:rsid w:val="0049251A"/>
    <w:rsid w:val="004A01E0"/>
    <w:rsid w:val="004A04F5"/>
    <w:rsid w:val="004A2213"/>
    <w:rsid w:val="004A48CC"/>
    <w:rsid w:val="004A5318"/>
    <w:rsid w:val="004A57F4"/>
    <w:rsid w:val="004A666F"/>
    <w:rsid w:val="004A6C97"/>
    <w:rsid w:val="004B0A90"/>
    <w:rsid w:val="004B28F3"/>
    <w:rsid w:val="004B51C1"/>
    <w:rsid w:val="004C25FF"/>
    <w:rsid w:val="004C349D"/>
    <w:rsid w:val="004C5CAB"/>
    <w:rsid w:val="004D158F"/>
    <w:rsid w:val="004D1A02"/>
    <w:rsid w:val="004D2FD6"/>
    <w:rsid w:val="004D36E6"/>
    <w:rsid w:val="004D51DC"/>
    <w:rsid w:val="004D6DAF"/>
    <w:rsid w:val="004E0431"/>
    <w:rsid w:val="004E408B"/>
    <w:rsid w:val="004E5294"/>
    <w:rsid w:val="004E6A86"/>
    <w:rsid w:val="004F0906"/>
    <w:rsid w:val="004F0F84"/>
    <w:rsid w:val="004F1323"/>
    <w:rsid w:val="004F1468"/>
    <w:rsid w:val="004F4775"/>
    <w:rsid w:val="0050009B"/>
    <w:rsid w:val="00507399"/>
    <w:rsid w:val="005074B2"/>
    <w:rsid w:val="00507DE3"/>
    <w:rsid w:val="005125F9"/>
    <w:rsid w:val="005131D7"/>
    <w:rsid w:val="00514B67"/>
    <w:rsid w:val="0051621E"/>
    <w:rsid w:val="00517FBD"/>
    <w:rsid w:val="0052184C"/>
    <w:rsid w:val="00524165"/>
    <w:rsid w:val="00525657"/>
    <w:rsid w:val="00527B22"/>
    <w:rsid w:val="005303B1"/>
    <w:rsid w:val="00531E75"/>
    <w:rsid w:val="00532B6E"/>
    <w:rsid w:val="0053406C"/>
    <w:rsid w:val="00534099"/>
    <w:rsid w:val="00534580"/>
    <w:rsid w:val="00536B46"/>
    <w:rsid w:val="00537CD5"/>
    <w:rsid w:val="00540C42"/>
    <w:rsid w:val="00546234"/>
    <w:rsid w:val="00546A9B"/>
    <w:rsid w:val="0055065A"/>
    <w:rsid w:val="005529D0"/>
    <w:rsid w:val="00553569"/>
    <w:rsid w:val="0055604D"/>
    <w:rsid w:val="00556231"/>
    <w:rsid w:val="00560EBC"/>
    <w:rsid w:val="00562A98"/>
    <w:rsid w:val="00563D67"/>
    <w:rsid w:val="00566804"/>
    <w:rsid w:val="00570695"/>
    <w:rsid w:val="00571BC9"/>
    <w:rsid w:val="0057626B"/>
    <w:rsid w:val="005778AE"/>
    <w:rsid w:val="00582980"/>
    <w:rsid w:val="00582D26"/>
    <w:rsid w:val="005862B3"/>
    <w:rsid w:val="0058705A"/>
    <w:rsid w:val="00587139"/>
    <w:rsid w:val="00591E26"/>
    <w:rsid w:val="00592D01"/>
    <w:rsid w:val="00593118"/>
    <w:rsid w:val="00594B5E"/>
    <w:rsid w:val="005969F0"/>
    <w:rsid w:val="00597873"/>
    <w:rsid w:val="005A33BE"/>
    <w:rsid w:val="005A3476"/>
    <w:rsid w:val="005A37DD"/>
    <w:rsid w:val="005A6307"/>
    <w:rsid w:val="005A73A0"/>
    <w:rsid w:val="005B167C"/>
    <w:rsid w:val="005B2A47"/>
    <w:rsid w:val="005B4F3B"/>
    <w:rsid w:val="005B7C62"/>
    <w:rsid w:val="005C3624"/>
    <w:rsid w:val="005C3D24"/>
    <w:rsid w:val="005C7898"/>
    <w:rsid w:val="005D1980"/>
    <w:rsid w:val="005D2425"/>
    <w:rsid w:val="005D29DE"/>
    <w:rsid w:val="005D7273"/>
    <w:rsid w:val="005E093E"/>
    <w:rsid w:val="005E2CB6"/>
    <w:rsid w:val="005E3734"/>
    <w:rsid w:val="005F572C"/>
    <w:rsid w:val="006005D9"/>
    <w:rsid w:val="00603664"/>
    <w:rsid w:val="0060437F"/>
    <w:rsid w:val="006048C6"/>
    <w:rsid w:val="0060524F"/>
    <w:rsid w:val="00605428"/>
    <w:rsid w:val="00606B37"/>
    <w:rsid w:val="00607351"/>
    <w:rsid w:val="00610678"/>
    <w:rsid w:val="0061104A"/>
    <w:rsid w:val="0061309F"/>
    <w:rsid w:val="0061392D"/>
    <w:rsid w:val="00614995"/>
    <w:rsid w:val="00616ECF"/>
    <w:rsid w:val="00620BAF"/>
    <w:rsid w:val="006250B2"/>
    <w:rsid w:val="006253DD"/>
    <w:rsid w:val="006260D0"/>
    <w:rsid w:val="0062792A"/>
    <w:rsid w:val="00630C8D"/>
    <w:rsid w:val="00630C92"/>
    <w:rsid w:val="0063393A"/>
    <w:rsid w:val="0063728A"/>
    <w:rsid w:val="006425CC"/>
    <w:rsid w:val="006439D0"/>
    <w:rsid w:val="00644311"/>
    <w:rsid w:val="00647BE9"/>
    <w:rsid w:val="0065028E"/>
    <w:rsid w:val="00650704"/>
    <w:rsid w:val="006513A9"/>
    <w:rsid w:val="00651BC7"/>
    <w:rsid w:val="0065214A"/>
    <w:rsid w:val="006521FA"/>
    <w:rsid w:val="00661794"/>
    <w:rsid w:val="00661A26"/>
    <w:rsid w:val="00662146"/>
    <w:rsid w:val="006659D8"/>
    <w:rsid w:val="00667CC6"/>
    <w:rsid w:val="00670194"/>
    <w:rsid w:val="00672A03"/>
    <w:rsid w:val="00676A24"/>
    <w:rsid w:val="006805FD"/>
    <w:rsid w:val="006818BC"/>
    <w:rsid w:val="006818C5"/>
    <w:rsid w:val="00682409"/>
    <w:rsid w:val="00683024"/>
    <w:rsid w:val="00683FFE"/>
    <w:rsid w:val="00687712"/>
    <w:rsid w:val="00687786"/>
    <w:rsid w:val="00691090"/>
    <w:rsid w:val="00691A1B"/>
    <w:rsid w:val="0069690A"/>
    <w:rsid w:val="006A21F7"/>
    <w:rsid w:val="006A3C72"/>
    <w:rsid w:val="006A4F12"/>
    <w:rsid w:val="006A5493"/>
    <w:rsid w:val="006B19FA"/>
    <w:rsid w:val="006B7970"/>
    <w:rsid w:val="006C02A1"/>
    <w:rsid w:val="006C5CF5"/>
    <w:rsid w:val="006C7135"/>
    <w:rsid w:val="006C7184"/>
    <w:rsid w:val="006C7265"/>
    <w:rsid w:val="006D03D2"/>
    <w:rsid w:val="006D0CF4"/>
    <w:rsid w:val="006D1604"/>
    <w:rsid w:val="006D196B"/>
    <w:rsid w:val="006D2FAF"/>
    <w:rsid w:val="006D404D"/>
    <w:rsid w:val="006E31A1"/>
    <w:rsid w:val="006E5A0F"/>
    <w:rsid w:val="006E7A3C"/>
    <w:rsid w:val="006F09D3"/>
    <w:rsid w:val="006F1F4F"/>
    <w:rsid w:val="006F3050"/>
    <w:rsid w:val="006F3EB0"/>
    <w:rsid w:val="006F41C7"/>
    <w:rsid w:val="006F446B"/>
    <w:rsid w:val="006F7080"/>
    <w:rsid w:val="006F7575"/>
    <w:rsid w:val="006F7B29"/>
    <w:rsid w:val="006F7E3B"/>
    <w:rsid w:val="00701F72"/>
    <w:rsid w:val="00702EC8"/>
    <w:rsid w:val="00706572"/>
    <w:rsid w:val="00706948"/>
    <w:rsid w:val="00706C99"/>
    <w:rsid w:val="00712940"/>
    <w:rsid w:val="00713FCB"/>
    <w:rsid w:val="007153D3"/>
    <w:rsid w:val="00715845"/>
    <w:rsid w:val="00720D7C"/>
    <w:rsid w:val="00721AD8"/>
    <w:rsid w:val="007230D1"/>
    <w:rsid w:val="0072391E"/>
    <w:rsid w:val="00723B22"/>
    <w:rsid w:val="00724BB8"/>
    <w:rsid w:val="00725A89"/>
    <w:rsid w:val="0073110B"/>
    <w:rsid w:val="007327DE"/>
    <w:rsid w:val="00734297"/>
    <w:rsid w:val="00734711"/>
    <w:rsid w:val="0073653B"/>
    <w:rsid w:val="0074001C"/>
    <w:rsid w:val="00741BE6"/>
    <w:rsid w:val="007424A8"/>
    <w:rsid w:val="00742FFF"/>
    <w:rsid w:val="007430A7"/>
    <w:rsid w:val="007510A2"/>
    <w:rsid w:val="0075167F"/>
    <w:rsid w:val="0075276B"/>
    <w:rsid w:val="00752CED"/>
    <w:rsid w:val="0075723B"/>
    <w:rsid w:val="00760B51"/>
    <w:rsid w:val="007620CB"/>
    <w:rsid w:val="0076781F"/>
    <w:rsid w:val="007718E9"/>
    <w:rsid w:val="0077198F"/>
    <w:rsid w:val="007731AD"/>
    <w:rsid w:val="00775130"/>
    <w:rsid w:val="007807F1"/>
    <w:rsid w:val="00782F74"/>
    <w:rsid w:val="00784BA2"/>
    <w:rsid w:val="007858C3"/>
    <w:rsid w:val="00786430"/>
    <w:rsid w:val="00786B14"/>
    <w:rsid w:val="007949FA"/>
    <w:rsid w:val="00797106"/>
    <w:rsid w:val="007A2039"/>
    <w:rsid w:val="007A20FE"/>
    <w:rsid w:val="007A3724"/>
    <w:rsid w:val="007A61B9"/>
    <w:rsid w:val="007A690D"/>
    <w:rsid w:val="007A7919"/>
    <w:rsid w:val="007B0DEC"/>
    <w:rsid w:val="007B241F"/>
    <w:rsid w:val="007C197B"/>
    <w:rsid w:val="007C1AEA"/>
    <w:rsid w:val="007C231E"/>
    <w:rsid w:val="007C2884"/>
    <w:rsid w:val="007C30A7"/>
    <w:rsid w:val="007C4B7F"/>
    <w:rsid w:val="007C4FB8"/>
    <w:rsid w:val="007C5CC5"/>
    <w:rsid w:val="007D0B29"/>
    <w:rsid w:val="007D16B3"/>
    <w:rsid w:val="007D7445"/>
    <w:rsid w:val="007D7D89"/>
    <w:rsid w:val="007E18EC"/>
    <w:rsid w:val="007E562B"/>
    <w:rsid w:val="007E7C62"/>
    <w:rsid w:val="007F2748"/>
    <w:rsid w:val="007F37F5"/>
    <w:rsid w:val="007F3DE0"/>
    <w:rsid w:val="007F4D93"/>
    <w:rsid w:val="007F506C"/>
    <w:rsid w:val="00801123"/>
    <w:rsid w:val="008061B0"/>
    <w:rsid w:val="00807AD3"/>
    <w:rsid w:val="00807DD2"/>
    <w:rsid w:val="00813A19"/>
    <w:rsid w:val="00814DCB"/>
    <w:rsid w:val="00814DE7"/>
    <w:rsid w:val="00814F34"/>
    <w:rsid w:val="00822405"/>
    <w:rsid w:val="00822CB1"/>
    <w:rsid w:val="00823A13"/>
    <w:rsid w:val="0082505F"/>
    <w:rsid w:val="0083017E"/>
    <w:rsid w:val="0083105C"/>
    <w:rsid w:val="008311A8"/>
    <w:rsid w:val="00831F93"/>
    <w:rsid w:val="00832D10"/>
    <w:rsid w:val="00833BED"/>
    <w:rsid w:val="008340CE"/>
    <w:rsid w:val="00834A59"/>
    <w:rsid w:val="00834B49"/>
    <w:rsid w:val="0083528C"/>
    <w:rsid w:val="0083573D"/>
    <w:rsid w:val="00837E9A"/>
    <w:rsid w:val="0084063E"/>
    <w:rsid w:val="00841ECD"/>
    <w:rsid w:val="00846B11"/>
    <w:rsid w:val="008605BD"/>
    <w:rsid w:val="00860F5A"/>
    <w:rsid w:val="00862598"/>
    <w:rsid w:val="00863507"/>
    <w:rsid w:val="008666CD"/>
    <w:rsid w:val="00866B5F"/>
    <w:rsid w:val="00870B99"/>
    <w:rsid w:val="00870DA0"/>
    <w:rsid w:val="00870F1E"/>
    <w:rsid w:val="00874320"/>
    <w:rsid w:val="00874E6F"/>
    <w:rsid w:val="0087560A"/>
    <w:rsid w:val="00875643"/>
    <w:rsid w:val="00876DC1"/>
    <w:rsid w:val="00880642"/>
    <w:rsid w:val="0088254D"/>
    <w:rsid w:val="00882A37"/>
    <w:rsid w:val="00883DDC"/>
    <w:rsid w:val="00884BD5"/>
    <w:rsid w:val="00885F78"/>
    <w:rsid w:val="00886D26"/>
    <w:rsid w:val="00887027"/>
    <w:rsid w:val="00887465"/>
    <w:rsid w:val="00887F3B"/>
    <w:rsid w:val="00890A4E"/>
    <w:rsid w:val="00892889"/>
    <w:rsid w:val="00893977"/>
    <w:rsid w:val="008941FB"/>
    <w:rsid w:val="00894312"/>
    <w:rsid w:val="00894BC3"/>
    <w:rsid w:val="0089591D"/>
    <w:rsid w:val="008962D1"/>
    <w:rsid w:val="008A0417"/>
    <w:rsid w:val="008A42F3"/>
    <w:rsid w:val="008B21B3"/>
    <w:rsid w:val="008B6D05"/>
    <w:rsid w:val="008B7742"/>
    <w:rsid w:val="008B7E5D"/>
    <w:rsid w:val="008C20FC"/>
    <w:rsid w:val="008C2ADD"/>
    <w:rsid w:val="008C2F34"/>
    <w:rsid w:val="008C7746"/>
    <w:rsid w:val="008D19B6"/>
    <w:rsid w:val="008D19E0"/>
    <w:rsid w:val="008D37A0"/>
    <w:rsid w:val="008D7960"/>
    <w:rsid w:val="008E0BC3"/>
    <w:rsid w:val="008E1F4B"/>
    <w:rsid w:val="008E6828"/>
    <w:rsid w:val="008E75AE"/>
    <w:rsid w:val="008E7E61"/>
    <w:rsid w:val="008F1E6A"/>
    <w:rsid w:val="008F223B"/>
    <w:rsid w:val="008F3AF7"/>
    <w:rsid w:val="008F6D20"/>
    <w:rsid w:val="009007F5"/>
    <w:rsid w:val="00901914"/>
    <w:rsid w:val="00906228"/>
    <w:rsid w:val="00906D33"/>
    <w:rsid w:val="009106E9"/>
    <w:rsid w:val="00911128"/>
    <w:rsid w:val="00911BDB"/>
    <w:rsid w:val="0091441E"/>
    <w:rsid w:val="0091566A"/>
    <w:rsid w:val="009158EE"/>
    <w:rsid w:val="00922715"/>
    <w:rsid w:val="00925674"/>
    <w:rsid w:val="009273CD"/>
    <w:rsid w:val="009310B4"/>
    <w:rsid w:val="00931EBD"/>
    <w:rsid w:val="0093293F"/>
    <w:rsid w:val="009330E6"/>
    <w:rsid w:val="00934F43"/>
    <w:rsid w:val="00937A4D"/>
    <w:rsid w:val="009400EE"/>
    <w:rsid w:val="00942294"/>
    <w:rsid w:val="00952879"/>
    <w:rsid w:val="00955575"/>
    <w:rsid w:val="00957FAB"/>
    <w:rsid w:val="00960E57"/>
    <w:rsid w:val="00962E24"/>
    <w:rsid w:val="0096541A"/>
    <w:rsid w:val="00967673"/>
    <w:rsid w:val="00972FBB"/>
    <w:rsid w:val="00974FB4"/>
    <w:rsid w:val="00976D80"/>
    <w:rsid w:val="00980FD6"/>
    <w:rsid w:val="00982761"/>
    <w:rsid w:val="0098737C"/>
    <w:rsid w:val="0098762E"/>
    <w:rsid w:val="009878F2"/>
    <w:rsid w:val="00991A9E"/>
    <w:rsid w:val="00993613"/>
    <w:rsid w:val="00993ECA"/>
    <w:rsid w:val="009957EF"/>
    <w:rsid w:val="00996723"/>
    <w:rsid w:val="0099762A"/>
    <w:rsid w:val="0099784E"/>
    <w:rsid w:val="009A025A"/>
    <w:rsid w:val="009A03DC"/>
    <w:rsid w:val="009A168A"/>
    <w:rsid w:val="009A5E7A"/>
    <w:rsid w:val="009A6E90"/>
    <w:rsid w:val="009B273B"/>
    <w:rsid w:val="009B4B50"/>
    <w:rsid w:val="009B604D"/>
    <w:rsid w:val="009B6860"/>
    <w:rsid w:val="009B73F4"/>
    <w:rsid w:val="009C2BF4"/>
    <w:rsid w:val="009C3DB4"/>
    <w:rsid w:val="009C542C"/>
    <w:rsid w:val="009D3844"/>
    <w:rsid w:val="009D409F"/>
    <w:rsid w:val="009D443D"/>
    <w:rsid w:val="009D4E6C"/>
    <w:rsid w:val="009D7C2E"/>
    <w:rsid w:val="009E5D7A"/>
    <w:rsid w:val="009E6E87"/>
    <w:rsid w:val="009E72AF"/>
    <w:rsid w:val="009F0ECD"/>
    <w:rsid w:val="009F1CBD"/>
    <w:rsid w:val="009F3A6C"/>
    <w:rsid w:val="009F501E"/>
    <w:rsid w:val="009F67F5"/>
    <w:rsid w:val="009F6BE1"/>
    <w:rsid w:val="009F76DE"/>
    <w:rsid w:val="00A018A0"/>
    <w:rsid w:val="00A02E79"/>
    <w:rsid w:val="00A04F52"/>
    <w:rsid w:val="00A0726F"/>
    <w:rsid w:val="00A07A3C"/>
    <w:rsid w:val="00A10371"/>
    <w:rsid w:val="00A1103C"/>
    <w:rsid w:val="00A132A9"/>
    <w:rsid w:val="00A16180"/>
    <w:rsid w:val="00A164C0"/>
    <w:rsid w:val="00A214BE"/>
    <w:rsid w:val="00A2385C"/>
    <w:rsid w:val="00A25396"/>
    <w:rsid w:val="00A26048"/>
    <w:rsid w:val="00A27C20"/>
    <w:rsid w:val="00A32860"/>
    <w:rsid w:val="00A34509"/>
    <w:rsid w:val="00A351C3"/>
    <w:rsid w:val="00A41109"/>
    <w:rsid w:val="00A47130"/>
    <w:rsid w:val="00A508E8"/>
    <w:rsid w:val="00A54CB6"/>
    <w:rsid w:val="00A60D1F"/>
    <w:rsid w:val="00A614FB"/>
    <w:rsid w:val="00A61C95"/>
    <w:rsid w:val="00A61CBE"/>
    <w:rsid w:val="00A62CE1"/>
    <w:rsid w:val="00A63861"/>
    <w:rsid w:val="00A65C24"/>
    <w:rsid w:val="00A679EB"/>
    <w:rsid w:val="00A67ED5"/>
    <w:rsid w:val="00A716C8"/>
    <w:rsid w:val="00A71C9C"/>
    <w:rsid w:val="00A71DE1"/>
    <w:rsid w:val="00A7664D"/>
    <w:rsid w:val="00A80ABA"/>
    <w:rsid w:val="00A815DA"/>
    <w:rsid w:val="00A84534"/>
    <w:rsid w:val="00A85782"/>
    <w:rsid w:val="00A85905"/>
    <w:rsid w:val="00A87DC6"/>
    <w:rsid w:val="00A90570"/>
    <w:rsid w:val="00A91772"/>
    <w:rsid w:val="00A928FC"/>
    <w:rsid w:val="00A939F0"/>
    <w:rsid w:val="00A95B72"/>
    <w:rsid w:val="00A97895"/>
    <w:rsid w:val="00A97A7A"/>
    <w:rsid w:val="00AA156E"/>
    <w:rsid w:val="00AA66B0"/>
    <w:rsid w:val="00AA7AD3"/>
    <w:rsid w:val="00AB4895"/>
    <w:rsid w:val="00AB7152"/>
    <w:rsid w:val="00AB7DFF"/>
    <w:rsid w:val="00AC0D22"/>
    <w:rsid w:val="00AC0F55"/>
    <w:rsid w:val="00AC2F98"/>
    <w:rsid w:val="00AC4889"/>
    <w:rsid w:val="00AC4D14"/>
    <w:rsid w:val="00AC5640"/>
    <w:rsid w:val="00AC68D2"/>
    <w:rsid w:val="00AC6FFA"/>
    <w:rsid w:val="00AD005B"/>
    <w:rsid w:val="00AD1535"/>
    <w:rsid w:val="00AD19F4"/>
    <w:rsid w:val="00AD34BF"/>
    <w:rsid w:val="00AD4AD1"/>
    <w:rsid w:val="00AD5D7D"/>
    <w:rsid w:val="00AE04CE"/>
    <w:rsid w:val="00AE0CE3"/>
    <w:rsid w:val="00AE17D3"/>
    <w:rsid w:val="00AE1CCC"/>
    <w:rsid w:val="00AE33C1"/>
    <w:rsid w:val="00AE4732"/>
    <w:rsid w:val="00AE4FF1"/>
    <w:rsid w:val="00AE5E88"/>
    <w:rsid w:val="00AE716C"/>
    <w:rsid w:val="00AF4DC8"/>
    <w:rsid w:val="00AF5485"/>
    <w:rsid w:val="00B02F2E"/>
    <w:rsid w:val="00B0566B"/>
    <w:rsid w:val="00B05745"/>
    <w:rsid w:val="00B05C7E"/>
    <w:rsid w:val="00B072CA"/>
    <w:rsid w:val="00B07D95"/>
    <w:rsid w:val="00B07E8D"/>
    <w:rsid w:val="00B14B29"/>
    <w:rsid w:val="00B1595B"/>
    <w:rsid w:val="00B21070"/>
    <w:rsid w:val="00B21B26"/>
    <w:rsid w:val="00B246CF"/>
    <w:rsid w:val="00B26334"/>
    <w:rsid w:val="00B264E6"/>
    <w:rsid w:val="00B306A1"/>
    <w:rsid w:val="00B31216"/>
    <w:rsid w:val="00B3164D"/>
    <w:rsid w:val="00B3316A"/>
    <w:rsid w:val="00B43C61"/>
    <w:rsid w:val="00B50B1C"/>
    <w:rsid w:val="00B51B4C"/>
    <w:rsid w:val="00B51C15"/>
    <w:rsid w:val="00B527CA"/>
    <w:rsid w:val="00B52859"/>
    <w:rsid w:val="00B52A32"/>
    <w:rsid w:val="00B56DC3"/>
    <w:rsid w:val="00B57736"/>
    <w:rsid w:val="00B6202B"/>
    <w:rsid w:val="00B65E4E"/>
    <w:rsid w:val="00B702B3"/>
    <w:rsid w:val="00B70B2F"/>
    <w:rsid w:val="00B745EE"/>
    <w:rsid w:val="00B76302"/>
    <w:rsid w:val="00B76463"/>
    <w:rsid w:val="00B773FC"/>
    <w:rsid w:val="00B81A3F"/>
    <w:rsid w:val="00B82C8B"/>
    <w:rsid w:val="00B83FA9"/>
    <w:rsid w:val="00B8403D"/>
    <w:rsid w:val="00B8532D"/>
    <w:rsid w:val="00B86DA1"/>
    <w:rsid w:val="00B86FA9"/>
    <w:rsid w:val="00B93694"/>
    <w:rsid w:val="00B94EB5"/>
    <w:rsid w:val="00B95C44"/>
    <w:rsid w:val="00B9649C"/>
    <w:rsid w:val="00BA1C4F"/>
    <w:rsid w:val="00BA2225"/>
    <w:rsid w:val="00BA2610"/>
    <w:rsid w:val="00BA3690"/>
    <w:rsid w:val="00BA4F62"/>
    <w:rsid w:val="00BA66FF"/>
    <w:rsid w:val="00BB0362"/>
    <w:rsid w:val="00BB0E67"/>
    <w:rsid w:val="00BB1EBE"/>
    <w:rsid w:val="00BB2FFC"/>
    <w:rsid w:val="00BB3ED9"/>
    <w:rsid w:val="00BC2741"/>
    <w:rsid w:val="00BC3FBB"/>
    <w:rsid w:val="00BD1B5D"/>
    <w:rsid w:val="00BD35D5"/>
    <w:rsid w:val="00BD7532"/>
    <w:rsid w:val="00BD7E48"/>
    <w:rsid w:val="00BE17E7"/>
    <w:rsid w:val="00BE2457"/>
    <w:rsid w:val="00BE32AB"/>
    <w:rsid w:val="00BE4706"/>
    <w:rsid w:val="00BE71E7"/>
    <w:rsid w:val="00BE7FD5"/>
    <w:rsid w:val="00BF0050"/>
    <w:rsid w:val="00BF080F"/>
    <w:rsid w:val="00BF16B2"/>
    <w:rsid w:val="00BF31B5"/>
    <w:rsid w:val="00BF35FC"/>
    <w:rsid w:val="00BF440A"/>
    <w:rsid w:val="00BF5DE5"/>
    <w:rsid w:val="00BF6583"/>
    <w:rsid w:val="00C01284"/>
    <w:rsid w:val="00C01DC1"/>
    <w:rsid w:val="00C03651"/>
    <w:rsid w:val="00C0413D"/>
    <w:rsid w:val="00C059AC"/>
    <w:rsid w:val="00C07798"/>
    <w:rsid w:val="00C168B1"/>
    <w:rsid w:val="00C17EF1"/>
    <w:rsid w:val="00C245D8"/>
    <w:rsid w:val="00C25B09"/>
    <w:rsid w:val="00C27F45"/>
    <w:rsid w:val="00C30384"/>
    <w:rsid w:val="00C31E7D"/>
    <w:rsid w:val="00C33180"/>
    <w:rsid w:val="00C3563A"/>
    <w:rsid w:val="00C40253"/>
    <w:rsid w:val="00C43A05"/>
    <w:rsid w:val="00C44239"/>
    <w:rsid w:val="00C44B04"/>
    <w:rsid w:val="00C503E4"/>
    <w:rsid w:val="00C521CF"/>
    <w:rsid w:val="00C52211"/>
    <w:rsid w:val="00C5479D"/>
    <w:rsid w:val="00C55D61"/>
    <w:rsid w:val="00C60887"/>
    <w:rsid w:val="00C62902"/>
    <w:rsid w:val="00C6393D"/>
    <w:rsid w:val="00C644F4"/>
    <w:rsid w:val="00C67B40"/>
    <w:rsid w:val="00C70F3C"/>
    <w:rsid w:val="00C733D3"/>
    <w:rsid w:val="00C73455"/>
    <w:rsid w:val="00C771C6"/>
    <w:rsid w:val="00C81114"/>
    <w:rsid w:val="00C828D3"/>
    <w:rsid w:val="00C83868"/>
    <w:rsid w:val="00C84326"/>
    <w:rsid w:val="00C861BC"/>
    <w:rsid w:val="00C86211"/>
    <w:rsid w:val="00C943EB"/>
    <w:rsid w:val="00C949E1"/>
    <w:rsid w:val="00CA0438"/>
    <w:rsid w:val="00CA2705"/>
    <w:rsid w:val="00CA465F"/>
    <w:rsid w:val="00CA6B53"/>
    <w:rsid w:val="00CB0499"/>
    <w:rsid w:val="00CB739C"/>
    <w:rsid w:val="00CB75B6"/>
    <w:rsid w:val="00CC231B"/>
    <w:rsid w:val="00CC5332"/>
    <w:rsid w:val="00CC5661"/>
    <w:rsid w:val="00CD48FC"/>
    <w:rsid w:val="00CD4A68"/>
    <w:rsid w:val="00CD6875"/>
    <w:rsid w:val="00CE0E33"/>
    <w:rsid w:val="00CE1D53"/>
    <w:rsid w:val="00CE24D5"/>
    <w:rsid w:val="00CE3F74"/>
    <w:rsid w:val="00CE58DA"/>
    <w:rsid w:val="00CE5C83"/>
    <w:rsid w:val="00CE6D6C"/>
    <w:rsid w:val="00CE7055"/>
    <w:rsid w:val="00CE7250"/>
    <w:rsid w:val="00CE7390"/>
    <w:rsid w:val="00CE7CB5"/>
    <w:rsid w:val="00CF019A"/>
    <w:rsid w:val="00CF07D0"/>
    <w:rsid w:val="00CF13EB"/>
    <w:rsid w:val="00CF2D90"/>
    <w:rsid w:val="00CF353F"/>
    <w:rsid w:val="00CF3EC2"/>
    <w:rsid w:val="00CF529F"/>
    <w:rsid w:val="00D05AFA"/>
    <w:rsid w:val="00D12019"/>
    <w:rsid w:val="00D130D3"/>
    <w:rsid w:val="00D132E9"/>
    <w:rsid w:val="00D13E9B"/>
    <w:rsid w:val="00D1410B"/>
    <w:rsid w:val="00D15CB2"/>
    <w:rsid w:val="00D1701C"/>
    <w:rsid w:val="00D207C1"/>
    <w:rsid w:val="00D21CDB"/>
    <w:rsid w:val="00D22576"/>
    <w:rsid w:val="00D23227"/>
    <w:rsid w:val="00D2356D"/>
    <w:rsid w:val="00D23862"/>
    <w:rsid w:val="00D23A53"/>
    <w:rsid w:val="00D25D5E"/>
    <w:rsid w:val="00D30416"/>
    <w:rsid w:val="00D30769"/>
    <w:rsid w:val="00D32CCA"/>
    <w:rsid w:val="00D42995"/>
    <w:rsid w:val="00D444BC"/>
    <w:rsid w:val="00D46DE9"/>
    <w:rsid w:val="00D47089"/>
    <w:rsid w:val="00D50ED3"/>
    <w:rsid w:val="00D51A10"/>
    <w:rsid w:val="00D52A21"/>
    <w:rsid w:val="00D6126A"/>
    <w:rsid w:val="00D6197F"/>
    <w:rsid w:val="00D63BBE"/>
    <w:rsid w:val="00D6597C"/>
    <w:rsid w:val="00D66C15"/>
    <w:rsid w:val="00D66F27"/>
    <w:rsid w:val="00D67383"/>
    <w:rsid w:val="00D70964"/>
    <w:rsid w:val="00D7131F"/>
    <w:rsid w:val="00D7225C"/>
    <w:rsid w:val="00D7292D"/>
    <w:rsid w:val="00D73472"/>
    <w:rsid w:val="00D74328"/>
    <w:rsid w:val="00D74E67"/>
    <w:rsid w:val="00D74EE2"/>
    <w:rsid w:val="00D75B82"/>
    <w:rsid w:val="00D80FEF"/>
    <w:rsid w:val="00D8179C"/>
    <w:rsid w:val="00D85908"/>
    <w:rsid w:val="00D86279"/>
    <w:rsid w:val="00D903A1"/>
    <w:rsid w:val="00D90909"/>
    <w:rsid w:val="00D94060"/>
    <w:rsid w:val="00D94239"/>
    <w:rsid w:val="00DA62B7"/>
    <w:rsid w:val="00DA78F0"/>
    <w:rsid w:val="00DB1762"/>
    <w:rsid w:val="00DB3D06"/>
    <w:rsid w:val="00DB4724"/>
    <w:rsid w:val="00DB58BD"/>
    <w:rsid w:val="00DB6AC6"/>
    <w:rsid w:val="00DC07EA"/>
    <w:rsid w:val="00DC1495"/>
    <w:rsid w:val="00DC20A3"/>
    <w:rsid w:val="00DC29B6"/>
    <w:rsid w:val="00DC3ABB"/>
    <w:rsid w:val="00DC420F"/>
    <w:rsid w:val="00DC59D8"/>
    <w:rsid w:val="00DC5D7A"/>
    <w:rsid w:val="00DC60D9"/>
    <w:rsid w:val="00DC7868"/>
    <w:rsid w:val="00DD31CC"/>
    <w:rsid w:val="00DD5C7F"/>
    <w:rsid w:val="00DE0161"/>
    <w:rsid w:val="00DE0735"/>
    <w:rsid w:val="00DE232A"/>
    <w:rsid w:val="00DE6EFF"/>
    <w:rsid w:val="00DF2849"/>
    <w:rsid w:val="00DF3446"/>
    <w:rsid w:val="00DF7359"/>
    <w:rsid w:val="00E01FD6"/>
    <w:rsid w:val="00E05FD6"/>
    <w:rsid w:val="00E10B6C"/>
    <w:rsid w:val="00E131D8"/>
    <w:rsid w:val="00E13C6B"/>
    <w:rsid w:val="00E14101"/>
    <w:rsid w:val="00E21456"/>
    <w:rsid w:val="00E242D1"/>
    <w:rsid w:val="00E27042"/>
    <w:rsid w:val="00E27565"/>
    <w:rsid w:val="00E27AA2"/>
    <w:rsid w:val="00E34758"/>
    <w:rsid w:val="00E36176"/>
    <w:rsid w:val="00E36A74"/>
    <w:rsid w:val="00E422A6"/>
    <w:rsid w:val="00E43507"/>
    <w:rsid w:val="00E4516A"/>
    <w:rsid w:val="00E45573"/>
    <w:rsid w:val="00E47F27"/>
    <w:rsid w:val="00E52505"/>
    <w:rsid w:val="00E560A3"/>
    <w:rsid w:val="00E57902"/>
    <w:rsid w:val="00E60941"/>
    <w:rsid w:val="00E62E42"/>
    <w:rsid w:val="00E63081"/>
    <w:rsid w:val="00E63D2B"/>
    <w:rsid w:val="00E63E69"/>
    <w:rsid w:val="00E65250"/>
    <w:rsid w:val="00E65A50"/>
    <w:rsid w:val="00E711D1"/>
    <w:rsid w:val="00E719FD"/>
    <w:rsid w:val="00E7452D"/>
    <w:rsid w:val="00E74965"/>
    <w:rsid w:val="00E76BA4"/>
    <w:rsid w:val="00E76BFA"/>
    <w:rsid w:val="00E774BB"/>
    <w:rsid w:val="00E77948"/>
    <w:rsid w:val="00E77A87"/>
    <w:rsid w:val="00E77E93"/>
    <w:rsid w:val="00E8225D"/>
    <w:rsid w:val="00E8408B"/>
    <w:rsid w:val="00E91FC1"/>
    <w:rsid w:val="00E9506C"/>
    <w:rsid w:val="00E9741A"/>
    <w:rsid w:val="00EA00C0"/>
    <w:rsid w:val="00EA1BC3"/>
    <w:rsid w:val="00EA2285"/>
    <w:rsid w:val="00EA3968"/>
    <w:rsid w:val="00EA47A1"/>
    <w:rsid w:val="00EA5F2C"/>
    <w:rsid w:val="00EA7E44"/>
    <w:rsid w:val="00EB117B"/>
    <w:rsid w:val="00EB376F"/>
    <w:rsid w:val="00EB4212"/>
    <w:rsid w:val="00EB4DA0"/>
    <w:rsid w:val="00EC047B"/>
    <w:rsid w:val="00EC33C5"/>
    <w:rsid w:val="00EC35C5"/>
    <w:rsid w:val="00EC453B"/>
    <w:rsid w:val="00EC5C98"/>
    <w:rsid w:val="00EC682B"/>
    <w:rsid w:val="00EC714B"/>
    <w:rsid w:val="00ED2EB5"/>
    <w:rsid w:val="00ED37FD"/>
    <w:rsid w:val="00ED4C08"/>
    <w:rsid w:val="00ED589E"/>
    <w:rsid w:val="00ED7B6A"/>
    <w:rsid w:val="00ED7DE2"/>
    <w:rsid w:val="00EE1036"/>
    <w:rsid w:val="00EE324C"/>
    <w:rsid w:val="00EE4926"/>
    <w:rsid w:val="00EE4ED5"/>
    <w:rsid w:val="00EF243D"/>
    <w:rsid w:val="00EF3285"/>
    <w:rsid w:val="00EF4D89"/>
    <w:rsid w:val="00EF57A0"/>
    <w:rsid w:val="00EF5938"/>
    <w:rsid w:val="00F008A4"/>
    <w:rsid w:val="00F01038"/>
    <w:rsid w:val="00F014FC"/>
    <w:rsid w:val="00F03BC3"/>
    <w:rsid w:val="00F07ABE"/>
    <w:rsid w:val="00F12945"/>
    <w:rsid w:val="00F1413F"/>
    <w:rsid w:val="00F14418"/>
    <w:rsid w:val="00F15FB5"/>
    <w:rsid w:val="00F164B3"/>
    <w:rsid w:val="00F17550"/>
    <w:rsid w:val="00F1778E"/>
    <w:rsid w:val="00F17C9A"/>
    <w:rsid w:val="00F20AE6"/>
    <w:rsid w:val="00F22026"/>
    <w:rsid w:val="00F3016F"/>
    <w:rsid w:val="00F31C83"/>
    <w:rsid w:val="00F31DA9"/>
    <w:rsid w:val="00F35663"/>
    <w:rsid w:val="00F37B1C"/>
    <w:rsid w:val="00F41689"/>
    <w:rsid w:val="00F4383B"/>
    <w:rsid w:val="00F4494C"/>
    <w:rsid w:val="00F4691D"/>
    <w:rsid w:val="00F47DE9"/>
    <w:rsid w:val="00F504E3"/>
    <w:rsid w:val="00F52DA5"/>
    <w:rsid w:val="00F53682"/>
    <w:rsid w:val="00F568EC"/>
    <w:rsid w:val="00F6041A"/>
    <w:rsid w:val="00F6352A"/>
    <w:rsid w:val="00F706D8"/>
    <w:rsid w:val="00F70A61"/>
    <w:rsid w:val="00F7152F"/>
    <w:rsid w:val="00F726B1"/>
    <w:rsid w:val="00F72D16"/>
    <w:rsid w:val="00F743DF"/>
    <w:rsid w:val="00F7588D"/>
    <w:rsid w:val="00F8370D"/>
    <w:rsid w:val="00F84364"/>
    <w:rsid w:val="00F84680"/>
    <w:rsid w:val="00F862EB"/>
    <w:rsid w:val="00F90A6E"/>
    <w:rsid w:val="00F92728"/>
    <w:rsid w:val="00F93256"/>
    <w:rsid w:val="00F9535A"/>
    <w:rsid w:val="00F95981"/>
    <w:rsid w:val="00F96353"/>
    <w:rsid w:val="00F96B41"/>
    <w:rsid w:val="00FA014F"/>
    <w:rsid w:val="00FA690B"/>
    <w:rsid w:val="00FB1AC4"/>
    <w:rsid w:val="00FB5B45"/>
    <w:rsid w:val="00FB6E81"/>
    <w:rsid w:val="00FB70AF"/>
    <w:rsid w:val="00FC00C7"/>
    <w:rsid w:val="00FC08C0"/>
    <w:rsid w:val="00FC13B7"/>
    <w:rsid w:val="00FC2FF0"/>
    <w:rsid w:val="00FC47F3"/>
    <w:rsid w:val="00FC65C9"/>
    <w:rsid w:val="00FD2FB2"/>
    <w:rsid w:val="00FD3FEE"/>
    <w:rsid w:val="00FD4BF9"/>
    <w:rsid w:val="00FE237C"/>
    <w:rsid w:val="00FE65A7"/>
    <w:rsid w:val="00FF2803"/>
    <w:rsid w:val="00FF425D"/>
    <w:rsid w:val="00FF5007"/>
    <w:rsid w:val="00FF61F3"/>
    <w:rsid w:val="00FF6A21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83540-E07F-474C-9418-E26F17C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3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rad_413-2\Desktop\&#1058;&#1080;&#1082;&#1086;&#1074;&#1077;&#1085;&#1082;&#1086;\&#1046;&#1048;&#1051;&#1048;&#1065;&#1045;\&#1087;&#1088;&#1072;&#1074;&#1082;&#1072;\07.02.2022\21.02.2022%20&#1058;&#1072;&#1073;&#1083;&#1080;&#1094;&#1099;%20&#1046;&#1048;&#1051;&#1048;&#1065;&#1045;%20463.xlsx" TargetMode="External"/><Relationship Id="rId10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14" Type="http://schemas.openxmlformats.org/officeDocument/2006/relationships/hyperlink" Target="consultantplus://offline/ref=D0993157CB253DEFA5C1764D80EDCB5885BC0C17CA3BD0198ACD8336432A06EB1E218EC4BC734873E3CEB056EDB0089E84036C7A9DC0C6C5F0E656PF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6939-05A6-40AD-AB64-F083C28D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Чугунова Кристина Валерьевна</cp:lastModifiedBy>
  <cp:revision>19</cp:revision>
  <cp:lastPrinted>2022-08-03T01:47:00Z</cp:lastPrinted>
  <dcterms:created xsi:type="dcterms:W3CDTF">2022-08-03T01:28:00Z</dcterms:created>
  <dcterms:modified xsi:type="dcterms:W3CDTF">2022-08-04T02:42:00Z</dcterms:modified>
</cp:coreProperties>
</file>